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6094D" w14:textId="77777777" w:rsidR="0098362C" w:rsidRPr="00B27CA2" w:rsidRDefault="00EE5ABE" w:rsidP="00B27CA2">
      <w:pPr>
        <w:jc w:val="center"/>
        <w:rPr>
          <w:b/>
          <w:u w:val="single"/>
        </w:rPr>
      </w:pPr>
      <w:r>
        <w:rPr>
          <w:b/>
          <w:u w:val="single"/>
        </w:rPr>
        <w:t xml:space="preserve">Draft </w:t>
      </w:r>
      <w:r w:rsidR="0098362C" w:rsidRPr="00B27CA2">
        <w:rPr>
          <w:b/>
          <w:u w:val="single"/>
        </w:rPr>
        <w:t>Call for New GE “Open” Themes</w:t>
      </w:r>
    </w:p>
    <w:p w14:paraId="4FBFBCF7" w14:textId="77777777" w:rsidR="004D216D" w:rsidRDefault="004D216D" w:rsidP="004D216D">
      <w:r w:rsidRPr="004D216D">
        <w:rPr>
          <w:b/>
          <w:bCs/>
        </w:rPr>
        <w:t>Goals and Learning Outcomes for the Educated Global Citizen</w:t>
      </w:r>
      <w:r w:rsidR="00CE714B">
        <w:rPr>
          <w:b/>
          <w:bCs/>
        </w:rPr>
        <w:t xml:space="preserve">.  </w:t>
      </w:r>
      <w:r w:rsidRPr="004D216D">
        <w:t>The Ohio State University’s general education program enables students to acquire and develop a</w:t>
      </w:r>
      <w:r>
        <w:t xml:space="preserve"> </w:t>
      </w:r>
      <w:r w:rsidRPr="004D216D">
        <w:t>breadth of awareness, knowledge and skills that cross disciplinary boundaries and extend to areas</w:t>
      </w:r>
      <w:r>
        <w:t xml:space="preserve"> </w:t>
      </w:r>
      <w:r w:rsidRPr="004D216D">
        <w:t>outside specialized study programs.</w:t>
      </w:r>
      <w:r>
        <w:t xml:space="preserve"> </w:t>
      </w:r>
    </w:p>
    <w:p w14:paraId="09C14273" w14:textId="77777777" w:rsidR="004D216D" w:rsidRDefault="004D216D" w:rsidP="004D216D">
      <w:r w:rsidRPr="004D216D">
        <w:t>General Education is designed to develop and refine certain qualities, abilities and characteristics that</w:t>
      </w:r>
      <w:r>
        <w:t xml:space="preserve"> </w:t>
      </w:r>
      <w:r w:rsidRPr="004D216D">
        <w:t>prepare its students to be engaged, resilient, and adaptable citizens and leaders for life; to develop an</w:t>
      </w:r>
      <w:r>
        <w:t xml:space="preserve"> </w:t>
      </w:r>
      <w:r w:rsidRPr="004D216D">
        <w:t>engagement with and an ability to apply a range of important modes of human thought and inquiry; and</w:t>
      </w:r>
      <w:r>
        <w:t xml:space="preserve"> </w:t>
      </w:r>
      <w:r w:rsidRPr="004D216D">
        <w:t>to examine significant aspects of the human condition in local, state, national and global settings today,</w:t>
      </w:r>
      <w:r>
        <w:t xml:space="preserve"> </w:t>
      </w:r>
      <w:r w:rsidRPr="004D216D">
        <w:t>and in the foreseeable future.</w:t>
      </w:r>
    </w:p>
    <w:p w14:paraId="561EECC6" w14:textId="77777777" w:rsidR="0098362C" w:rsidRDefault="004D216D">
      <w:r w:rsidRPr="00CE714B">
        <w:rPr>
          <w:b/>
        </w:rPr>
        <w:t xml:space="preserve">The GE </w:t>
      </w:r>
      <w:r w:rsidR="00B27CA2" w:rsidRPr="00CE714B">
        <w:rPr>
          <w:b/>
        </w:rPr>
        <w:t xml:space="preserve">program is designed around </w:t>
      </w:r>
      <w:r w:rsidRPr="00CE714B">
        <w:rPr>
          <w:b/>
        </w:rPr>
        <w:t>themes</w:t>
      </w:r>
      <w:r w:rsidR="00CE714B" w:rsidRPr="00CE714B">
        <w:rPr>
          <w:b/>
        </w:rPr>
        <w:t>.</w:t>
      </w:r>
      <w:r w:rsidR="00CE714B">
        <w:t xml:space="preserve"> </w:t>
      </w:r>
      <w:r w:rsidR="0098362C">
        <w:t>Over the course of the new GE design process, four themes emerged each informed to meet a broad set of lear</w:t>
      </w:r>
      <w:r>
        <w:t>ning objectives for OSU</w:t>
      </w:r>
      <w:r w:rsidR="0098362C">
        <w:t xml:space="preserve"> students. The existing GEs are broad, interdisciplinary</w:t>
      </w:r>
      <w:r>
        <w:t xml:space="preserve">, respond to </w:t>
      </w:r>
      <w:r w:rsidR="0098362C">
        <w:t xml:space="preserve">questions and concerns </w:t>
      </w:r>
      <w:r>
        <w:t>reflecting the</w:t>
      </w:r>
      <w:r w:rsidR="0098362C">
        <w:t xml:space="preserve"> 21</w:t>
      </w:r>
      <w:r w:rsidR="0098362C" w:rsidRPr="0098362C">
        <w:rPr>
          <w:vertAlign w:val="superscript"/>
        </w:rPr>
        <w:t>st</w:t>
      </w:r>
      <w:r w:rsidR="0098362C">
        <w:t xml:space="preserve"> century context informing it from historical, present and futuristic approaches. </w:t>
      </w:r>
    </w:p>
    <w:p w14:paraId="7B6E4E34" w14:textId="77777777" w:rsidR="00CE714B" w:rsidRDefault="005C421E" w:rsidP="00CE714B">
      <w:pPr>
        <w:spacing w:after="0" w:line="240" w:lineRule="auto"/>
        <w:rPr>
          <w:u w:val="single"/>
        </w:rPr>
      </w:pPr>
      <w:r w:rsidRPr="00CE714B">
        <w:rPr>
          <w:u w:val="single"/>
        </w:rPr>
        <w:t>Citizenship for Just and Diverse World</w:t>
      </w:r>
    </w:p>
    <w:p w14:paraId="51BB1EC5" w14:textId="77777777" w:rsidR="004D216D" w:rsidRDefault="004D216D" w:rsidP="00CE714B">
      <w:pPr>
        <w:spacing w:after="0" w:line="240" w:lineRule="auto"/>
      </w:pPr>
      <w:r w:rsidRPr="004D216D">
        <w:t>All students will complete the “Citizenship” theme – consisting of the foundation course on Racial, Ethnic and Gender Diversity, plus 2 additional courses. “Education for Citizenship” is the University’s motto, and the new mission statement indicates that the University is dedicated to “preparing a diverse student body to be leaders and engaged citizens.”</w:t>
      </w:r>
    </w:p>
    <w:p w14:paraId="12984B67" w14:textId="77777777" w:rsidR="00CE714B" w:rsidRPr="004D216D" w:rsidRDefault="00CE714B" w:rsidP="00CE714B">
      <w:pPr>
        <w:spacing w:after="0" w:line="240" w:lineRule="auto"/>
      </w:pPr>
    </w:p>
    <w:p w14:paraId="77916E1B" w14:textId="77777777" w:rsidR="0098362C" w:rsidRPr="00CE714B" w:rsidRDefault="0098362C" w:rsidP="00CE714B">
      <w:pPr>
        <w:spacing w:after="0" w:line="240" w:lineRule="auto"/>
        <w:rPr>
          <w:u w:val="single"/>
        </w:rPr>
      </w:pPr>
      <w:r w:rsidRPr="00CE714B">
        <w:rPr>
          <w:u w:val="single"/>
        </w:rPr>
        <w:t>Sustainability</w:t>
      </w:r>
      <w:r w:rsidR="00CE714B">
        <w:rPr>
          <w:u w:val="single"/>
        </w:rPr>
        <w:t xml:space="preserve"> </w:t>
      </w:r>
    </w:p>
    <w:p w14:paraId="2139EAC9" w14:textId="77777777" w:rsidR="00B27CA2" w:rsidRDefault="00B27CA2" w:rsidP="00CE714B">
      <w:pPr>
        <w:spacing w:after="0" w:line="240" w:lineRule="auto"/>
      </w:pPr>
      <w:r w:rsidRPr="00B27CA2">
        <w:t>Students understand how human and natural systems interact, how human well-being depends on these interactions, gain motivation to engage in potential solutions, and stewardship of resources.</w:t>
      </w:r>
    </w:p>
    <w:p w14:paraId="45F0E6ED" w14:textId="77777777" w:rsidR="00CE714B" w:rsidRPr="00B27CA2" w:rsidRDefault="00CE714B" w:rsidP="00CE714B">
      <w:pPr>
        <w:spacing w:after="0" w:line="240" w:lineRule="auto"/>
      </w:pPr>
    </w:p>
    <w:p w14:paraId="45D7FDFF" w14:textId="77777777" w:rsidR="0098362C" w:rsidRPr="00CE714B" w:rsidRDefault="00B27CA2" w:rsidP="00CE714B">
      <w:pPr>
        <w:spacing w:after="0" w:line="240" w:lineRule="auto"/>
        <w:rPr>
          <w:u w:val="single"/>
        </w:rPr>
      </w:pPr>
      <w:r w:rsidRPr="00CE714B">
        <w:rPr>
          <w:u w:val="single"/>
        </w:rPr>
        <w:t>Health and Wellbeing</w:t>
      </w:r>
    </w:p>
    <w:p w14:paraId="0A37E8B2" w14:textId="77777777" w:rsidR="00B27CA2" w:rsidRDefault="00B27CA2" w:rsidP="00CE714B">
      <w:pPr>
        <w:spacing w:after="0" w:line="240" w:lineRule="auto"/>
      </w:pPr>
      <w:r w:rsidRPr="00B27CA2">
        <w:t>Students understand health and wellbeing from a variety of perspectives inclusive of causes of disease, disease prevention, optimum wellness, community health, and health systems. Students can discern health systems and organizations and understand the physical, mental, cultural, social, career and financial aspects of personal health and wellbeing.</w:t>
      </w:r>
    </w:p>
    <w:p w14:paraId="1DE6ABF7" w14:textId="77777777" w:rsidR="00CE714B" w:rsidRPr="00B27CA2" w:rsidRDefault="00CE714B" w:rsidP="00CE714B">
      <w:pPr>
        <w:spacing w:after="0" w:line="240" w:lineRule="auto"/>
      </w:pPr>
    </w:p>
    <w:p w14:paraId="355FD828" w14:textId="77777777" w:rsidR="004D216D" w:rsidRPr="004D216D" w:rsidRDefault="004D216D" w:rsidP="004D216D">
      <w:pPr>
        <w:kinsoku w:val="0"/>
        <w:overflowPunct w:val="0"/>
        <w:autoSpaceDE w:val="0"/>
        <w:autoSpaceDN w:val="0"/>
        <w:adjustRightInd w:val="0"/>
        <w:spacing w:before="60" w:after="0" w:line="240" w:lineRule="auto"/>
        <w:ind w:left="40"/>
        <w:rPr>
          <w:rFonts w:ascii="Calibri" w:hAnsi="Calibri" w:cs="Calibri"/>
          <w:bCs/>
          <w:u w:val="single"/>
        </w:rPr>
      </w:pPr>
      <w:r w:rsidRPr="004D216D">
        <w:rPr>
          <w:rFonts w:ascii="Calibri" w:hAnsi="Calibri" w:cs="Calibri"/>
          <w:bCs/>
          <w:u w:val="single"/>
        </w:rPr>
        <w:t>Lived Environments (Previously called “Places &amp; Spaces”)</w:t>
      </w:r>
    </w:p>
    <w:p w14:paraId="38F43D90" w14:textId="77777777" w:rsidR="004D216D" w:rsidRPr="004D216D" w:rsidRDefault="004D216D" w:rsidP="004D216D">
      <w:pPr>
        <w:kinsoku w:val="0"/>
        <w:overflowPunct w:val="0"/>
        <w:autoSpaceDE w:val="0"/>
        <w:autoSpaceDN w:val="0"/>
        <w:adjustRightInd w:val="0"/>
        <w:spacing w:after="0"/>
        <w:ind w:left="40" w:right="77"/>
        <w:rPr>
          <w:rFonts w:ascii="Calibri" w:hAnsi="Calibri" w:cs="Calibri"/>
          <w:color w:val="528135"/>
        </w:rPr>
      </w:pPr>
      <w:r w:rsidRPr="004D216D">
        <w:rPr>
          <w:rFonts w:ascii="Calibri" w:hAnsi="Calibri" w:cs="Calibri"/>
        </w:rPr>
        <w:t>Students understand issues related to humans and their lived environments through both objective and subjective lenses inclusive of physical, biological, cultural and aesthetic space that individuals occupy, and the relati</w:t>
      </w:r>
      <w:r w:rsidR="00EB289D">
        <w:rPr>
          <w:rFonts w:ascii="Calibri" w:hAnsi="Calibri" w:cs="Calibri"/>
        </w:rPr>
        <w:t xml:space="preserve">onship between humans and their </w:t>
      </w:r>
      <w:r w:rsidRPr="004D216D">
        <w:rPr>
          <w:rFonts w:ascii="Calibri" w:hAnsi="Calibri" w:cs="Calibri"/>
          <w:color w:val="000000"/>
        </w:rPr>
        <w:t>environment</w:t>
      </w:r>
      <w:r w:rsidRPr="004D216D">
        <w:rPr>
          <w:rFonts w:ascii="Calibri" w:hAnsi="Calibri" w:cs="Calibri"/>
          <w:color w:val="528135"/>
        </w:rPr>
        <w:t>s</w:t>
      </w:r>
    </w:p>
    <w:p w14:paraId="0CEA9EA6" w14:textId="77777777" w:rsidR="00B27CA2" w:rsidRDefault="00B27CA2"/>
    <w:p w14:paraId="1FD4F7E9" w14:textId="77777777" w:rsidR="00B27CA2" w:rsidRPr="00CE714B" w:rsidRDefault="00E739F2">
      <w:pPr>
        <w:rPr>
          <w:b/>
          <w:u w:val="single"/>
        </w:rPr>
      </w:pPr>
      <w:r>
        <w:rPr>
          <w:b/>
          <w:u w:val="single"/>
        </w:rPr>
        <w:t>Call for New</w:t>
      </w:r>
      <w:r w:rsidR="00B27CA2" w:rsidRPr="00CE714B">
        <w:rPr>
          <w:b/>
          <w:u w:val="single"/>
        </w:rPr>
        <w:t xml:space="preserve"> Themes</w:t>
      </w:r>
    </w:p>
    <w:p w14:paraId="48376290" w14:textId="77777777" w:rsidR="00B27CA2" w:rsidRDefault="0098362C">
      <w:r>
        <w:t>W</w:t>
      </w:r>
      <w:r w:rsidR="00B27CA2">
        <w:t xml:space="preserve">hile </w:t>
      </w:r>
      <w:r>
        <w:t xml:space="preserve">these themes </w:t>
      </w:r>
      <w:r w:rsidR="00B27CA2">
        <w:t>all address</w:t>
      </w:r>
      <w:r w:rsidR="005C421E">
        <w:t xml:space="preserve"> broad </w:t>
      </w:r>
      <w:r>
        <w:t>ideas, these themes are not</w:t>
      </w:r>
      <w:r w:rsidR="005C421E">
        <w:t xml:space="preserve"> representative of </w:t>
      </w:r>
      <w:r>
        <w:t xml:space="preserve">all </w:t>
      </w:r>
      <w:r w:rsidR="005C421E">
        <w:t>ways of enlisting thought on substantial</w:t>
      </w:r>
      <w:r>
        <w:t xml:space="preserve"> questions, ideas, and concepts that do and should shape and prepare students to thrive as citizens educated for a just and diverse world. Therefore, during the GE implementation process, we</w:t>
      </w:r>
      <w:r w:rsidR="00B27CA2">
        <w:t xml:space="preserve"> are soliciting</w:t>
      </w:r>
      <w:r>
        <w:t xml:space="preserve"> </w:t>
      </w:r>
      <w:r w:rsidR="0061000E">
        <w:t xml:space="preserve">faculty to submit </w:t>
      </w:r>
      <w:r>
        <w:t xml:space="preserve">additional themes </w:t>
      </w:r>
      <w:r w:rsidR="00B27CA2">
        <w:t xml:space="preserve">that are sufficiently different from those listed above and </w:t>
      </w:r>
      <w:r>
        <w:t xml:space="preserve">reflect the broad engagements </w:t>
      </w:r>
      <w:r w:rsidR="00B27CA2">
        <w:t xml:space="preserve">with </w:t>
      </w:r>
      <w:r>
        <w:t>the 21</w:t>
      </w:r>
      <w:r w:rsidRPr="0098362C">
        <w:rPr>
          <w:vertAlign w:val="superscript"/>
        </w:rPr>
        <w:t>st</w:t>
      </w:r>
      <w:r>
        <w:t xml:space="preserve"> c. context.</w:t>
      </w:r>
      <w:r w:rsidR="00B27CA2">
        <w:t xml:space="preserve"> Further, proposed </w:t>
      </w:r>
      <w:r w:rsidR="00C447E8">
        <w:t>New T</w:t>
      </w:r>
      <w:r w:rsidR="00B27CA2">
        <w:t>hemes must meet the following criteria:</w:t>
      </w:r>
      <w:r>
        <w:t xml:space="preserve"> </w:t>
      </w:r>
    </w:p>
    <w:p w14:paraId="0FCCFBA4" w14:textId="77777777" w:rsidR="00A44743" w:rsidRDefault="00EE5ABE">
      <w:r>
        <w:lastRenderedPageBreak/>
        <w:t xml:space="preserve">We seek proposals of new themes that: </w:t>
      </w:r>
    </w:p>
    <w:p w14:paraId="45DE8770" w14:textId="77777777" w:rsidR="00A44743" w:rsidRDefault="00EE5ABE" w:rsidP="00427765">
      <w:pPr>
        <w:pStyle w:val="ListParagraph"/>
        <w:numPr>
          <w:ilvl w:val="0"/>
          <w:numId w:val="1"/>
        </w:numPr>
      </w:pPr>
      <w:r>
        <w:t>Respond</w:t>
      </w:r>
      <w:r w:rsidR="00A44743">
        <w:t xml:space="preserve"> to big questions</w:t>
      </w:r>
      <w:r w:rsidR="00E739F2">
        <w:t xml:space="preserve"> and reflect rel</w:t>
      </w:r>
      <w:r w:rsidR="00C447E8">
        <w:t>evance to</w:t>
      </w:r>
      <w:r>
        <w:t xml:space="preserve"> 21</w:t>
      </w:r>
      <w:r w:rsidRPr="00C447E8">
        <w:rPr>
          <w:vertAlign w:val="superscript"/>
        </w:rPr>
        <w:t>st</w:t>
      </w:r>
      <w:r>
        <w:t xml:space="preserve"> century context</w:t>
      </w:r>
      <w:r w:rsidR="00E739F2">
        <w:t>s</w:t>
      </w:r>
      <w:r w:rsidR="00C447E8" w:rsidRPr="00C447E8">
        <w:t xml:space="preserve"> </w:t>
      </w:r>
      <w:r w:rsidR="00C447E8">
        <w:t xml:space="preserve">inclusive of </w:t>
      </w:r>
      <w:r w:rsidR="00C447E8" w:rsidRPr="00C447E8">
        <w:t xml:space="preserve">historical, present and futuristic approaches. </w:t>
      </w:r>
    </w:p>
    <w:p w14:paraId="04FEAAC2" w14:textId="77777777" w:rsidR="00A44743" w:rsidRDefault="00EE5ABE" w:rsidP="005F683E">
      <w:pPr>
        <w:pStyle w:val="ListParagraph"/>
        <w:numPr>
          <w:ilvl w:val="0"/>
          <w:numId w:val="1"/>
        </w:numPr>
      </w:pPr>
      <w:r>
        <w:t>A</w:t>
      </w:r>
      <w:r w:rsidR="001A4C68">
        <w:t>ddress question</w:t>
      </w:r>
      <w:r>
        <w:t>s</w:t>
      </w:r>
      <w:r w:rsidR="001A4C68">
        <w:t xml:space="preserve"> from multiple disciplinary locations</w:t>
      </w:r>
      <w:r>
        <w:t xml:space="preserve"> and are broadly engaging</w:t>
      </w:r>
    </w:p>
    <w:p w14:paraId="38E98A80" w14:textId="77777777" w:rsidR="001A4C68" w:rsidRDefault="00EE5ABE" w:rsidP="005F683E">
      <w:pPr>
        <w:pStyle w:val="ListParagraph"/>
        <w:numPr>
          <w:ilvl w:val="0"/>
          <w:numId w:val="1"/>
        </w:numPr>
      </w:pPr>
      <w:r>
        <w:t>Reflect significant difference from the existing themes</w:t>
      </w:r>
    </w:p>
    <w:p w14:paraId="727328EA" w14:textId="77777777" w:rsidR="0061000E" w:rsidRPr="0061000E" w:rsidRDefault="0061000E" w:rsidP="0061000E">
      <w:r w:rsidRPr="0061000E">
        <w:t xml:space="preserve">We anticipate </w:t>
      </w:r>
      <w:r w:rsidR="00CD517D">
        <w:t>issuing</w:t>
      </w:r>
      <w:r w:rsidRPr="0061000E">
        <w:t xml:space="preserve"> Calls for New GE Themes </w:t>
      </w:r>
      <w:r w:rsidRPr="00CD517D">
        <w:t xml:space="preserve">on a </w:t>
      </w:r>
      <w:r w:rsidR="00CD517D">
        <w:t xml:space="preserve">regular </w:t>
      </w:r>
      <w:r w:rsidRPr="00CD517D">
        <w:t>basis</w:t>
      </w:r>
      <w:r>
        <w:t xml:space="preserve"> </w:t>
      </w:r>
      <w:r w:rsidR="00CD517D">
        <w:t>following this initial proposal call.</w:t>
      </w:r>
    </w:p>
    <w:p w14:paraId="46F57FBC" w14:textId="568DF12B" w:rsidR="0061000E" w:rsidRPr="0061000E" w:rsidRDefault="0061000E" w:rsidP="0061000E">
      <w:r w:rsidRPr="0061000E">
        <w:t xml:space="preserve">For this first call, we will </w:t>
      </w:r>
      <w:r w:rsidR="00B938D9">
        <w:t xml:space="preserve">begin </w:t>
      </w:r>
      <w:r w:rsidRPr="0061000E">
        <w:t>accept</w:t>
      </w:r>
      <w:r w:rsidR="00B938D9">
        <w:t>ing</w:t>
      </w:r>
      <w:r w:rsidRPr="0061000E">
        <w:t xml:space="preserve"> submissions</w:t>
      </w:r>
      <w:r w:rsidR="00B938D9">
        <w:t xml:space="preserve"> December 9</w:t>
      </w:r>
      <w:r w:rsidR="00B938D9" w:rsidRPr="00B938D9">
        <w:rPr>
          <w:vertAlign w:val="superscript"/>
        </w:rPr>
        <w:t>th</w:t>
      </w:r>
      <w:r w:rsidR="00B938D9">
        <w:t xml:space="preserve"> –January 10</w:t>
      </w:r>
      <w:r w:rsidR="00B938D9" w:rsidRPr="00B938D9">
        <w:rPr>
          <w:vertAlign w:val="superscript"/>
        </w:rPr>
        <w:t>th</w:t>
      </w:r>
      <w:r w:rsidR="00B938D9">
        <w:t>.</w:t>
      </w:r>
      <w:r w:rsidR="00C66904">
        <w:t xml:space="preserve"> Proposals will be reviewed in a two-step process. Proposals that advance to the second stage will be required to submit additional materials as outlined below.</w:t>
      </w:r>
    </w:p>
    <w:p w14:paraId="53322A55" w14:textId="77777777" w:rsidR="00EE5ABE" w:rsidRDefault="00EE5ABE" w:rsidP="00EE5ABE">
      <w:pPr>
        <w:rPr>
          <w:b/>
          <w:u w:val="single"/>
        </w:rPr>
      </w:pPr>
      <w:r w:rsidRPr="0061000E">
        <w:rPr>
          <w:b/>
          <w:u w:val="single"/>
        </w:rPr>
        <w:t>Proposals Must Include</w:t>
      </w:r>
      <w:r w:rsidR="00FD042E" w:rsidRPr="0061000E">
        <w:rPr>
          <w:b/>
          <w:u w:val="single"/>
        </w:rPr>
        <w:t>:</w:t>
      </w:r>
      <w:r w:rsidRPr="0061000E">
        <w:rPr>
          <w:b/>
          <w:u w:val="single"/>
        </w:rPr>
        <w:t xml:space="preserve"> </w:t>
      </w:r>
    </w:p>
    <w:p w14:paraId="468EF351" w14:textId="77777777" w:rsidR="005F683E" w:rsidRPr="005F683E" w:rsidRDefault="008174F0" w:rsidP="00EE5ABE">
      <w:r w:rsidRPr="008174F0">
        <w:rPr>
          <w:u w:val="single"/>
        </w:rPr>
        <w:t>Title and theme statement</w:t>
      </w:r>
      <w:r>
        <w:t xml:space="preserve">: </w:t>
      </w:r>
      <w:r w:rsidRPr="008174F0">
        <w:t xml:space="preserve"> </w:t>
      </w:r>
      <w:r w:rsidR="005F683E">
        <w:t>Title for the Theme as well as a 1-2 sentence abstract.</w:t>
      </w:r>
    </w:p>
    <w:p w14:paraId="75194E9A" w14:textId="77777777" w:rsidR="00986BE7" w:rsidRPr="00986BE7" w:rsidRDefault="008174F0" w:rsidP="00986BE7">
      <w:r w:rsidRPr="008174F0">
        <w:rPr>
          <w:u w:val="single"/>
        </w:rPr>
        <w:t>Overview Narrative</w:t>
      </w:r>
      <w:r>
        <w:t xml:space="preserve">: Discuss the </w:t>
      </w:r>
      <w:r w:rsidR="0061000E">
        <w:t xml:space="preserve">goals and purpose of the </w:t>
      </w:r>
      <w:r w:rsidR="00B175D2">
        <w:t>proposed theme</w:t>
      </w:r>
      <w:r w:rsidR="005F683E">
        <w:t xml:space="preserve">, </w:t>
      </w:r>
      <w:r w:rsidR="00B175D2">
        <w:t>how it contributes to the values stated above</w:t>
      </w:r>
      <w:r>
        <w:t xml:space="preserve"> and</w:t>
      </w:r>
      <w:r w:rsidR="00B175D2">
        <w:t xml:space="preserve"> </w:t>
      </w:r>
      <w:r w:rsidR="0061000E">
        <w:t xml:space="preserve">how it </w:t>
      </w:r>
      <w:r w:rsidR="00B175D2">
        <w:t>sufficient</w:t>
      </w:r>
      <w:r w:rsidR="0061000E">
        <w:t>ly</w:t>
      </w:r>
      <w:r w:rsidR="00B175D2">
        <w:t xml:space="preserve"> differ</w:t>
      </w:r>
      <w:r w:rsidR="0061000E">
        <w:t>s</w:t>
      </w:r>
      <w:r w:rsidR="00B175D2">
        <w:t xml:space="preserve"> from the existing </w:t>
      </w:r>
      <w:r w:rsidR="0061000E">
        <w:t>them</w:t>
      </w:r>
      <w:r w:rsidR="00B175D2">
        <w:t>e</w:t>
      </w:r>
      <w:r w:rsidR="0061000E">
        <w:t>s</w:t>
      </w:r>
      <w:r>
        <w:t>.</w:t>
      </w:r>
      <w:r w:rsidR="00640EF8">
        <w:t xml:space="preserve"> Proposals must address </w:t>
      </w:r>
      <w:r w:rsidR="005F683E">
        <w:t xml:space="preserve">how </w:t>
      </w:r>
      <w:r>
        <w:t xml:space="preserve">the new theme </w:t>
      </w:r>
      <w:r w:rsidR="00640EF8">
        <w:t>reflects</w:t>
      </w:r>
      <w:r w:rsidR="005F683E" w:rsidRPr="00C42039">
        <w:t xml:space="preserve"> the GE’s ELOs,</w:t>
      </w:r>
      <w:r>
        <w:t xml:space="preserve"> </w:t>
      </w:r>
      <w:r w:rsidR="00640EF8">
        <w:t>T</w:t>
      </w:r>
      <w:r>
        <w:t xml:space="preserve">heme ELOs and </w:t>
      </w:r>
      <w:r w:rsidR="00640EF8">
        <w:t>include</w:t>
      </w:r>
      <w:r w:rsidR="008D24DE">
        <w:t xml:space="preserve"> at minimum</w:t>
      </w:r>
      <w:r w:rsidR="00640EF8">
        <w:t xml:space="preserve"> one preliminary s</w:t>
      </w:r>
      <w:r>
        <w:t xml:space="preserve">pecialized ELO related specifically to the new theme. </w:t>
      </w:r>
      <w:r w:rsidR="00B175D2" w:rsidRPr="00C42039">
        <w:t>(2-3 pages)</w:t>
      </w:r>
      <w:r w:rsidR="00986BE7" w:rsidRPr="00986BE7">
        <w:t xml:space="preserve"> </w:t>
      </w:r>
    </w:p>
    <w:p w14:paraId="66E96487" w14:textId="77777777" w:rsidR="008174F0" w:rsidRPr="008174F0" w:rsidRDefault="008174F0" w:rsidP="008174F0">
      <w:r w:rsidRPr="008174F0">
        <w:rPr>
          <w:u w:val="single"/>
        </w:rPr>
        <w:t>Curricular participation</w:t>
      </w:r>
      <w:r w:rsidRPr="008174F0">
        <w:t>: Identify a minimum of 5 courses that will be included in the theme, stemming from a minimum of three de</w:t>
      </w:r>
      <w:r w:rsidR="001F63C8">
        <w:t>partments or other academic programs</w:t>
      </w:r>
      <w:r w:rsidRPr="008174F0">
        <w:t>.</w:t>
      </w:r>
      <w:r w:rsidR="00986BE7">
        <w:t xml:space="preserve"> Proposals that advance beyond the initial stage will need to identify </w:t>
      </w:r>
      <w:r w:rsidR="001F63C8">
        <w:t xml:space="preserve">a minimum of </w:t>
      </w:r>
      <w:r w:rsidR="00986BE7">
        <w:t xml:space="preserve">20 available courses. </w:t>
      </w:r>
      <w:r w:rsidR="006D0CCA">
        <w:t xml:space="preserve">Courses at the 2000 level or above are available for inclusion in the themes. </w:t>
      </w:r>
    </w:p>
    <w:p w14:paraId="22C26F2E" w14:textId="77777777" w:rsidR="00986BE7" w:rsidRDefault="00986BE7">
      <w:r w:rsidRPr="00986BE7">
        <w:rPr>
          <w:u w:val="single"/>
        </w:rPr>
        <w:t>Endorsements:</w:t>
      </w:r>
      <w:r>
        <w:t xml:space="preserve">  </w:t>
      </w:r>
      <w:r w:rsidR="00FD042E" w:rsidRPr="00FD042E">
        <w:t>Proposals require the endorsement from</w:t>
      </w:r>
      <w:r>
        <w:t xml:space="preserve"> at least three participating departments or academic</w:t>
      </w:r>
      <w:r w:rsidR="001F63C8">
        <w:t xml:space="preserve"> programs</w:t>
      </w:r>
      <w:r w:rsidR="005F683E">
        <w:t xml:space="preserve"> </w:t>
      </w:r>
      <w:r w:rsidR="00FD042E" w:rsidRPr="00FD042E">
        <w:t xml:space="preserve">signifying that they are committed to offering the courses on a regular basis. </w:t>
      </w:r>
    </w:p>
    <w:p w14:paraId="182FECEA" w14:textId="77777777" w:rsidR="004E23C4" w:rsidRDefault="00B175D2">
      <w:r>
        <w:t xml:space="preserve">Strong preference will be given to </w:t>
      </w:r>
      <w:r w:rsidR="00FD042E">
        <w:t xml:space="preserve">proposed </w:t>
      </w:r>
      <w:r>
        <w:t xml:space="preserve">themes that </w:t>
      </w:r>
      <w:r w:rsidR="0061000E">
        <w:t xml:space="preserve">include a breadth of disciplines and </w:t>
      </w:r>
      <w:r>
        <w:t xml:space="preserve">maximize participation by including </w:t>
      </w:r>
      <w:r w:rsidR="0061000E">
        <w:t xml:space="preserve">involvement from </w:t>
      </w:r>
      <w:r>
        <w:t xml:space="preserve">multiple </w:t>
      </w:r>
      <w:r w:rsidR="00640EF8">
        <w:t xml:space="preserve">departments, academic </w:t>
      </w:r>
      <w:r w:rsidR="001F63C8">
        <w:t>program</w:t>
      </w:r>
      <w:r w:rsidR="00640EF8">
        <w:t xml:space="preserve">s and/or </w:t>
      </w:r>
      <w:r>
        <w:t>colleges</w:t>
      </w:r>
      <w:r w:rsidR="00640EF8">
        <w:t>.</w:t>
      </w:r>
      <w:r>
        <w:t xml:space="preserve"> </w:t>
      </w:r>
    </w:p>
    <w:p w14:paraId="01A07F24" w14:textId="77777777" w:rsidR="00986BE7" w:rsidRDefault="00986BE7">
      <w:r w:rsidRPr="004E23C4">
        <w:t xml:space="preserve">Similarly, preference will be given to proposed themes that </w:t>
      </w:r>
      <w:r w:rsidR="001F63C8" w:rsidRPr="004E23C4">
        <w:t>are accessible to achieve by students on the regional</w:t>
      </w:r>
      <w:r w:rsidRPr="004E23C4">
        <w:t xml:space="preserve"> campuses.</w:t>
      </w:r>
      <w:r>
        <w:t xml:space="preserve"> </w:t>
      </w:r>
    </w:p>
    <w:p w14:paraId="053A290D" w14:textId="77777777" w:rsidR="00986BE7" w:rsidRDefault="008C5A2E">
      <w:r>
        <w:rPr>
          <w:b/>
        </w:rPr>
        <w:t xml:space="preserve">First Round </w:t>
      </w:r>
      <w:r w:rsidR="00C42039">
        <w:rPr>
          <w:b/>
        </w:rPr>
        <w:t>Submission</w:t>
      </w:r>
      <w:r>
        <w:rPr>
          <w:b/>
        </w:rPr>
        <w:t>s</w:t>
      </w:r>
      <w:r w:rsidR="00C42039">
        <w:rPr>
          <w:b/>
        </w:rPr>
        <w:t xml:space="preserve">: </w:t>
      </w:r>
      <w:r w:rsidR="00C42039">
        <w:t xml:space="preserve">Initial proposals can be submitted by any </w:t>
      </w:r>
      <w:r w:rsidR="00986BE7">
        <w:t xml:space="preserve">individual faculty member, </w:t>
      </w:r>
      <w:r w:rsidR="00C42039">
        <w:t>group of faculty</w:t>
      </w:r>
      <w:r w:rsidR="00986BE7">
        <w:t xml:space="preserve">, department, </w:t>
      </w:r>
      <w:r w:rsidR="001F63C8">
        <w:t>academic program</w:t>
      </w:r>
      <w:r w:rsidR="00986BE7">
        <w:t xml:space="preserve"> or college within the university and must address all of the above elements</w:t>
      </w:r>
      <w:r w:rsidR="00C42039">
        <w:t>. Proposals that go forward to the second round will need to obtain more formal endorsements</w:t>
      </w:r>
      <w:r w:rsidR="00986BE7">
        <w:t xml:space="preserve"> from participat</w:t>
      </w:r>
      <w:r w:rsidR="001F63C8">
        <w:t>ing departments or academic program</w:t>
      </w:r>
      <w:r w:rsidR="00986BE7">
        <w:t>s</w:t>
      </w:r>
      <w:r w:rsidR="00C42039">
        <w:t>, more formal goals and ELOs,</w:t>
      </w:r>
      <w:r w:rsidR="00986BE7">
        <w:t xml:space="preserve"> and additional</w:t>
      </w:r>
      <w:r w:rsidR="00C42039">
        <w:t xml:space="preserve"> courses</w:t>
      </w:r>
      <w:r w:rsidR="00986BE7">
        <w:t>.</w:t>
      </w:r>
      <w:r w:rsidR="00C42039">
        <w:t xml:space="preserve"> </w:t>
      </w:r>
    </w:p>
    <w:p w14:paraId="23458834" w14:textId="77777777" w:rsidR="00986BE7" w:rsidRDefault="00986BE7">
      <w:r>
        <w:t xml:space="preserve">Proposals submissions for the first round will be accepted </w:t>
      </w:r>
      <w:r w:rsidR="008C5A2E">
        <w:t xml:space="preserve">via the OAA GE website </w:t>
      </w:r>
      <w:r w:rsidR="00CD517D">
        <w:t>beginning December 9</w:t>
      </w:r>
      <w:r w:rsidR="00CD517D" w:rsidRPr="00CD517D">
        <w:rPr>
          <w:vertAlign w:val="superscript"/>
        </w:rPr>
        <w:t>th</w:t>
      </w:r>
      <w:r w:rsidR="00CD517D">
        <w:t xml:space="preserve"> </w:t>
      </w:r>
      <w:r w:rsidR="002E558A">
        <w:t xml:space="preserve"> </w:t>
      </w:r>
    </w:p>
    <w:p w14:paraId="3D8705DF" w14:textId="77777777" w:rsidR="00C447E8" w:rsidRDefault="00FD042E">
      <w:r w:rsidRPr="00CD517D">
        <w:rPr>
          <w:b/>
        </w:rPr>
        <w:t xml:space="preserve">Review </w:t>
      </w:r>
      <w:r w:rsidR="001A4C68" w:rsidRPr="00CD517D">
        <w:rPr>
          <w:b/>
        </w:rPr>
        <w:t>Process:</w:t>
      </w:r>
      <w:r w:rsidR="001A4C68" w:rsidRPr="00CD517D">
        <w:t xml:space="preserve"> </w:t>
      </w:r>
      <w:r w:rsidR="0061000E" w:rsidRPr="00CD517D">
        <w:t xml:space="preserve">Proposals for </w:t>
      </w:r>
      <w:r w:rsidR="00D44D7D" w:rsidRPr="00CD517D">
        <w:t xml:space="preserve">the first call for </w:t>
      </w:r>
      <w:r w:rsidR="00C447E8" w:rsidRPr="00CD517D">
        <w:t>New T</w:t>
      </w:r>
      <w:r w:rsidR="0061000E" w:rsidRPr="00CD517D">
        <w:t>hemes will be reviewed by</w:t>
      </w:r>
      <w:r w:rsidR="005F683E" w:rsidRPr="00CD517D">
        <w:t xml:space="preserve"> </w:t>
      </w:r>
      <w:r w:rsidR="00C447E8" w:rsidRPr="00CD517D">
        <w:t xml:space="preserve">a committee of faculty from each of the </w:t>
      </w:r>
      <w:r w:rsidR="00D44D7D" w:rsidRPr="00CD517D">
        <w:t>12 colleges; including faculty from the regional campuses; undergraduate and graduate student representatives</w:t>
      </w:r>
      <w:r w:rsidR="00C447E8" w:rsidRPr="00CD517D">
        <w:t xml:space="preserve">. </w:t>
      </w:r>
    </w:p>
    <w:p w14:paraId="7FF9016E" w14:textId="77777777" w:rsidR="00C66904" w:rsidRDefault="00C2750A" w:rsidP="00CE714B">
      <w:r w:rsidRPr="00CE714B">
        <w:rPr>
          <w:b/>
        </w:rPr>
        <w:lastRenderedPageBreak/>
        <w:t>Information Session</w:t>
      </w:r>
      <w:r w:rsidR="001F63C8">
        <w:rPr>
          <w:b/>
        </w:rPr>
        <w:t>s</w:t>
      </w:r>
      <w:r w:rsidRPr="00CE714B">
        <w:rPr>
          <w:b/>
        </w:rPr>
        <w:t>:</w:t>
      </w:r>
      <w:r w:rsidR="00CE714B">
        <w:t xml:space="preserve"> </w:t>
      </w:r>
      <w:r w:rsidR="00CE714B" w:rsidRPr="00CE714B">
        <w:t>We wi</w:t>
      </w:r>
      <w:r w:rsidR="001F63C8">
        <w:t>ll host</w:t>
      </w:r>
      <w:r w:rsidR="00CE714B" w:rsidRPr="00CE714B">
        <w:t xml:space="preserve"> Information Session</w:t>
      </w:r>
      <w:r w:rsidR="001F63C8">
        <w:t>s</w:t>
      </w:r>
      <w:r w:rsidR="00CE714B" w:rsidRPr="00CE714B">
        <w:t xml:space="preserve"> to discuss the Call for New Theme Proposals</w:t>
      </w:r>
      <w:r w:rsidR="008C5A2E">
        <w:t xml:space="preserve"> </w:t>
      </w:r>
      <w:r w:rsidR="008C5A2E" w:rsidRPr="00D44D7D">
        <w:t>(December 9-13</w:t>
      </w:r>
      <w:r w:rsidR="002E558A" w:rsidRPr="00D44D7D">
        <w:rPr>
          <w:vertAlign w:val="superscript"/>
        </w:rPr>
        <w:t>th</w:t>
      </w:r>
      <w:r w:rsidR="008C5A2E" w:rsidRPr="00D44D7D">
        <w:t>)</w:t>
      </w:r>
      <w:r w:rsidR="00CE714B" w:rsidRPr="00CE714B">
        <w:t>. We invite faculty interested in sub</w:t>
      </w:r>
      <w:r w:rsidR="001F63C8">
        <w:t>mitting proposals to attend one of these</w:t>
      </w:r>
      <w:r w:rsidR="00CE714B" w:rsidRPr="00CE714B">
        <w:t xml:space="preserve"> </w:t>
      </w:r>
      <w:r w:rsidR="00C66904">
        <w:t xml:space="preserve">two </w:t>
      </w:r>
      <w:r w:rsidR="00CE714B" w:rsidRPr="00CE714B">
        <w:t>session</w:t>
      </w:r>
      <w:r w:rsidR="001F63C8">
        <w:t>s</w:t>
      </w:r>
      <w:r w:rsidR="00CE714B" w:rsidRPr="00CE714B">
        <w:t>, which will also offer an opportunity to network with other faculty to build robust proposals.</w:t>
      </w:r>
      <w:r w:rsidR="00C42039">
        <w:t xml:space="preserve"> </w:t>
      </w:r>
    </w:p>
    <w:p w14:paraId="0EB8D126" w14:textId="77777777" w:rsidR="00C42039" w:rsidRDefault="00C66904" w:rsidP="00CE714B">
      <w:r>
        <w:t>We will also host one</w:t>
      </w:r>
      <w:r w:rsidR="00D44D7D">
        <w:t xml:space="preserve"> Information Sharing Session for undergraduate and undergraduate students to discuss New Theme ideas</w:t>
      </w:r>
      <w:r>
        <w:t>,</w:t>
      </w:r>
      <w:r w:rsidR="00D44D7D">
        <w:t xml:space="preserve"> which will be forwarded to the appropriate departments for faculty consideration, input, and </w:t>
      </w:r>
      <w:r w:rsidR="008D24DE">
        <w:t>potential sponsorship.</w:t>
      </w:r>
    </w:p>
    <w:p w14:paraId="633C5FC4" w14:textId="77777777" w:rsidR="008174F0" w:rsidRDefault="008174F0" w:rsidP="00CE714B"/>
    <w:p w14:paraId="1E32CE8D" w14:textId="77777777" w:rsidR="004C29FD" w:rsidRDefault="004C29FD" w:rsidP="00CE714B"/>
    <w:p w14:paraId="42DFBD52" w14:textId="77777777" w:rsidR="006556EA" w:rsidRDefault="006556EA">
      <w:pPr>
        <w:sectPr w:rsidR="006556EA">
          <w:headerReference w:type="default" r:id="rId8"/>
          <w:footerReference w:type="default" r:id="rId9"/>
          <w:pgSz w:w="12240" w:h="15840"/>
          <w:pgMar w:top="1440" w:right="1440" w:bottom="1440" w:left="1440" w:header="720" w:footer="720" w:gutter="0"/>
          <w:cols w:space="720"/>
          <w:docGrid w:linePitch="360"/>
        </w:sectPr>
      </w:pPr>
      <w:bookmarkStart w:id="0" w:name="_GoBack"/>
      <w:bookmarkEnd w:id="0"/>
    </w:p>
    <w:tbl>
      <w:tblPr>
        <w:tblStyle w:val="TableGrid"/>
        <w:tblW w:w="12950" w:type="dxa"/>
        <w:tblLook w:val="04A0" w:firstRow="1" w:lastRow="0" w:firstColumn="1" w:lastColumn="0" w:noHBand="0" w:noVBand="1"/>
      </w:tblPr>
      <w:tblGrid>
        <w:gridCol w:w="3321"/>
        <w:gridCol w:w="1374"/>
        <w:gridCol w:w="2950"/>
        <w:gridCol w:w="5305"/>
      </w:tblGrid>
      <w:tr w:rsidR="006556EA" w:rsidRPr="00114DA7" w14:paraId="4ADA6CB0" w14:textId="77777777" w:rsidTr="00953EC6">
        <w:tc>
          <w:tcPr>
            <w:tcW w:w="7645" w:type="dxa"/>
            <w:gridSpan w:val="3"/>
            <w:tcBorders>
              <w:top w:val="single" w:sz="4" w:space="0" w:color="auto"/>
              <w:bottom w:val="single" w:sz="4" w:space="0" w:color="auto"/>
            </w:tcBorders>
            <w:shd w:val="pct50" w:color="auto" w:fill="auto"/>
            <w:vAlign w:val="center"/>
          </w:tcPr>
          <w:p w14:paraId="383A44E1" w14:textId="77777777" w:rsidR="006556EA" w:rsidRPr="00114DA7" w:rsidRDefault="006556EA" w:rsidP="00953EC6">
            <w:pPr>
              <w:jc w:val="center"/>
              <w:rPr>
                <w:rFonts w:cstheme="minorHAnsi"/>
                <w:b/>
                <w:bCs/>
                <w:color w:val="FFFFFF" w:themeColor="background1"/>
                <w:sz w:val="20"/>
                <w:szCs w:val="20"/>
              </w:rPr>
            </w:pPr>
            <w:r w:rsidRPr="00114DA7">
              <w:rPr>
                <w:rFonts w:cstheme="minorHAnsi"/>
                <w:b/>
                <w:bCs/>
                <w:color w:val="FFFFFF" w:themeColor="background1"/>
                <w:sz w:val="20"/>
                <w:szCs w:val="20"/>
              </w:rPr>
              <w:t>Themes: General</w:t>
            </w:r>
          </w:p>
        </w:tc>
        <w:tc>
          <w:tcPr>
            <w:tcW w:w="5305" w:type="dxa"/>
            <w:tcBorders>
              <w:top w:val="single" w:sz="4" w:space="0" w:color="auto"/>
              <w:bottom w:val="single" w:sz="4" w:space="0" w:color="auto"/>
            </w:tcBorders>
            <w:shd w:val="pct50" w:color="auto" w:fill="auto"/>
          </w:tcPr>
          <w:p w14:paraId="2E7147C0" w14:textId="77777777" w:rsidR="006556EA" w:rsidRPr="00114DA7" w:rsidRDefault="006556EA" w:rsidP="00953EC6">
            <w:pPr>
              <w:jc w:val="center"/>
              <w:rPr>
                <w:rFonts w:cstheme="minorHAnsi"/>
                <w:b/>
                <w:bCs/>
                <w:color w:val="FFFFFF" w:themeColor="background1"/>
                <w:sz w:val="20"/>
                <w:szCs w:val="20"/>
              </w:rPr>
            </w:pPr>
          </w:p>
        </w:tc>
      </w:tr>
      <w:tr w:rsidR="006556EA" w:rsidRPr="00114DA7" w14:paraId="1D7FA34F" w14:textId="77777777" w:rsidTr="00953EC6">
        <w:tc>
          <w:tcPr>
            <w:tcW w:w="3321" w:type="dxa"/>
            <w:tcBorders>
              <w:top w:val="single" w:sz="4" w:space="0" w:color="auto"/>
            </w:tcBorders>
          </w:tcPr>
          <w:p w14:paraId="388870E8" w14:textId="77777777" w:rsidR="006556EA" w:rsidRPr="00114DA7" w:rsidRDefault="006556EA" w:rsidP="00953EC6">
            <w:pPr>
              <w:jc w:val="center"/>
              <w:rPr>
                <w:rFonts w:cstheme="minorHAnsi"/>
                <w:sz w:val="20"/>
                <w:szCs w:val="20"/>
              </w:rPr>
            </w:pPr>
            <w:r w:rsidRPr="00114DA7">
              <w:rPr>
                <w:rFonts w:cstheme="minorHAnsi"/>
                <w:b/>
                <w:bCs/>
                <w:sz w:val="20"/>
                <w:szCs w:val="20"/>
              </w:rPr>
              <w:t>Goals</w:t>
            </w:r>
          </w:p>
        </w:tc>
        <w:tc>
          <w:tcPr>
            <w:tcW w:w="4324" w:type="dxa"/>
            <w:gridSpan w:val="2"/>
            <w:tcBorders>
              <w:top w:val="single" w:sz="4" w:space="0" w:color="auto"/>
              <w:bottom w:val="single" w:sz="4" w:space="0" w:color="auto"/>
            </w:tcBorders>
          </w:tcPr>
          <w:p w14:paraId="65604D5E" w14:textId="77777777" w:rsidR="006556EA" w:rsidRPr="00114DA7" w:rsidRDefault="006556EA" w:rsidP="00953EC6">
            <w:pPr>
              <w:jc w:val="center"/>
              <w:rPr>
                <w:rFonts w:cstheme="minorHAnsi"/>
                <w:sz w:val="20"/>
                <w:szCs w:val="20"/>
              </w:rPr>
            </w:pPr>
            <w:r w:rsidRPr="00114DA7">
              <w:rPr>
                <w:rFonts w:cstheme="minorHAnsi"/>
                <w:b/>
                <w:bCs/>
                <w:sz w:val="20"/>
                <w:szCs w:val="20"/>
              </w:rPr>
              <w:t>Expected Learning Outcomes</w:t>
            </w:r>
          </w:p>
        </w:tc>
        <w:tc>
          <w:tcPr>
            <w:tcW w:w="5305" w:type="dxa"/>
            <w:tcBorders>
              <w:top w:val="single" w:sz="4" w:space="0" w:color="auto"/>
              <w:bottom w:val="single" w:sz="4" w:space="0" w:color="auto"/>
            </w:tcBorders>
          </w:tcPr>
          <w:p w14:paraId="3A850E3A" w14:textId="77777777" w:rsidR="006556EA" w:rsidRPr="00114DA7" w:rsidRDefault="006556EA" w:rsidP="00953EC6">
            <w:pPr>
              <w:jc w:val="center"/>
              <w:rPr>
                <w:rFonts w:cstheme="minorHAnsi"/>
                <w:b/>
                <w:bCs/>
                <w:sz w:val="20"/>
                <w:szCs w:val="20"/>
              </w:rPr>
            </w:pPr>
          </w:p>
        </w:tc>
      </w:tr>
      <w:tr w:rsidR="006556EA" w:rsidRPr="00114DA7" w14:paraId="67AC13F1" w14:textId="77777777" w:rsidTr="00953EC6">
        <w:tc>
          <w:tcPr>
            <w:tcW w:w="3321" w:type="dxa"/>
            <w:vMerge w:val="restart"/>
            <w:tcBorders>
              <w:top w:val="single" w:sz="4" w:space="0" w:color="auto"/>
            </w:tcBorders>
            <w:vAlign w:val="center"/>
          </w:tcPr>
          <w:p w14:paraId="44A8D82E" w14:textId="77777777" w:rsidR="006556EA" w:rsidRPr="00114DA7" w:rsidRDefault="006556EA" w:rsidP="00953EC6">
            <w:pPr>
              <w:rPr>
                <w:rFonts w:cstheme="minorHAnsi"/>
                <w:b/>
                <w:bCs/>
                <w:color w:val="FF0000"/>
                <w:sz w:val="20"/>
                <w:szCs w:val="20"/>
              </w:rPr>
            </w:pPr>
            <w:r w:rsidRPr="00114DA7">
              <w:rPr>
                <w:rFonts w:cstheme="minorHAnsi"/>
                <w:b/>
                <w:bCs/>
                <w:sz w:val="20"/>
                <w:szCs w:val="20"/>
              </w:rPr>
              <w:t>GOAL 1: Successful students</w:t>
            </w:r>
            <w:r w:rsidRPr="00B8542F">
              <w:rPr>
                <w:rFonts w:cstheme="minorHAnsi"/>
                <w:b/>
                <w:bCs/>
                <w:sz w:val="20"/>
                <w:szCs w:val="20"/>
              </w:rPr>
              <w:t xml:space="preserve"> will </w:t>
            </w:r>
            <w:r w:rsidRPr="00114DA7">
              <w:rPr>
                <w:rFonts w:cstheme="minorHAnsi"/>
                <w:b/>
                <w:bCs/>
                <w:sz w:val="20"/>
                <w:szCs w:val="20"/>
              </w:rPr>
              <w:t xml:space="preserve">analyze an important topic or idea at a more advanced and in-depth level than the foundations. </w:t>
            </w:r>
          </w:p>
        </w:tc>
        <w:tc>
          <w:tcPr>
            <w:tcW w:w="4324" w:type="dxa"/>
            <w:gridSpan w:val="2"/>
            <w:tcBorders>
              <w:top w:val="single" w:sz="4" w:space="0" w:color="auto"/>
              <w:bottom w:val="single" w:sz="4" w:space="0" w:color="auto"/>
            </w:tcBorders>
            <w:vAlign w:val="center"/>
          </w:tcPr>
          <w:p w14:paraId="1C7A2552" w14:textId="77777777" w:rsidR="006556EA" w:rsidRPr="00114DA7" w:rsidRDefault="006556EA" w:rsidP="00953EC6">
            <w:pPr>
              <w:pStyle w:val="NormalWeb"/>
              <w:spacing w:before="0" w:beforeAutospacing="0" w:after="0" w:afterAutospacing="0"/>
              <w:rPr>
                <w:rFonts w:asciiTheme="minorHAnsi" w:hAnsiTheme="minorHAnsi" w:cstheme="minorHAnsi"/>
                <w:b/>
                <w:bCs/>
                <w:color w:val="000000" w:themeColor="text1"/>
                <w:sz w:val="20"/>
                <w:szCs w:val="20"/>
                <w:shd w:val="clear" w:color="auto" w:fill="FFFFFF"/>
              </w:rPr>
            </w:pPr>
            <w:r w:rsidRPr="00114DA7">
              <w:rPr>
                <w:rFonts w:asciiTheme="minorHAnsi" w:hAnsiTheme="minorHAnsi" w:cstheme="minorHAnsi"/>
                <w:b/>
                <w:bCs/>
                <w:color w:val="000000" w:themeColor="text1"/>
                <w:sz w:val="20"/>
                <w:szCs w:val="20"/>
                <w:shd w:val="clear" w:color="auto" w:fill="FFFFFF"/>
              </w:rPr>
              <w:t>Successful students are able to …</w:t>
            </w:r>
          </w:p>
          <w:p w14:paraId="14F66EA4" w14:textId="77777777" w:rsidR="006556EA" w:rsidRPr="00114DA7" w:rsidRDefault="006556EA" w:rsidP="00953EC6">
            <w:pPr>
              <w:pStyle w:val="NormalWeb"/>
              <w:spacing w:before="0" w:beforeAutospacing="0" w:after="0" w:afterAutospacing="0"/>
              <w:rPr>
                <w:rFonts w:asciiTheme="minorHAnsi" w:hAnsiTheme="minorHAnsi" w:cstheme="minorHAnsi"/>
                <w:b/>
                <w:bCs/>
                <w:color w:val="000000" w:themeColor="text1"/>
                <w:sz w:val="20"/>
                <w:szCs w:val="20"/>
                <w:shd w:val="clear" w:color="auto" w:fill="FFFFFF"/>
              </w:rPr>
            </w:pPr>
          </w:p>
          <w:p w14:paraId="4CFF57BA" w14:textId="77777777" w:rsidR="006556EA" w:rsidRPr="00114DA7" w:rsidRDefault="006556EA" w:rsidP="00953EC6">
            <w:pPr>
              <w:rPr>
                <w:rFonts w:cstheme="minorHAnsi"/>
                <w:sz w:val="20"/>
                <w:szCs w:val="20"/>
              </w:rPr>
            </w:pPr>
            <w:r w:rsidRPr="00114DA7">
              <w:rPr>
                <w:rFonts w:cstheme="minorHAnsi"/>
                <w:b/>
                <w:bCs/>
                <w:sz w:val="20"/>
                <w:szCs w:val="20"/>
              </w:rPr>
              <w:t>1.1</w:t>
            </w:r>
            <w:r w:rsidRPr="00114DA7">
              <w:rPr>
                <w:rFonts w:cstheme="minorHAnsi"/>
                <w:sz w:val="20"/>
                <w:szCs w:val="20"/>
              </w:rPr>
              <w:t xml:space="preserve"> Engage in critical and logical thinking about the topic or idea of the theme.</w:t>
            </w:r>
          </w:p>
        </w:tc>
        <w:tc>
          <w:tcPr>
            <w:tcW w:w="5305" w:type="dxa"/>
            <w:tcBorders>
              <w:top w:val="single" w:sz="4" w:space="0" w:color="auto"/>
              <w:bottom w:val="single" w:sz="4" w:space="0" w:color="auto"/>
            </w:tcBorders>
          </w:tcPr>
          <w:p w14:paraId="7AD565B7" w14:textId="77777777" w:rsidR="006556EA" w:rsidRPr="00114DA7" w:rsidRDefault="006556EA" w:rsidP="00953EC6">
            <w:pPr>
              <w:rPr>
                <w:rFonts w:cstheme="minorHAnsi"/>
                <w:b/>
                <w:bCs/>
                <w:color w:val="000000" w:themeColor="text1"/>
                <w:sz w:val="20"/>
                <w:szCs w:val="20"/>
                <w:shd w:val="clear" w:color="auto" w:fill="FFFFFF"/>
              </w:rPr>
            </w:pPr>
            <w:r>
              <w:rPr>
                <w:rFonts w:cstheme="minorHAnsi"/>
                <w:b/>
                <w:bCs/>
                <w:color w:val="000000" w:themeColor="text1"/>
                <w:sz w:val="20"/>
                <w:szCs w:val="20"/>
                <w:shd w:val="clear" w:color="auto" w:fill="FFFFFF"/>
              </w:rPr>
              <w:t xml:space="preserve">A goal and several ELOs regarding the content/issue/ defining problems of the theme are to be developed ASAP. </w:t>
            </w:r>
          </w:p>
        </w:tc>
      </w:tr>
      <w:tr w:rsidR="006556EA" w:rsidRPr="00114DA7" w14:paraId="1EC8E5CE" w14:textId="77777777" w:rsidTr="00953EC6">
        <w:tc>
          <w:tcPr>
            <w:tcW w:w="3321" w:type="dxa"/>
            <w:vMerge/>
            <w:tcBorders>
              <w:bottom w:val="single" w:sz="4" w:space="0" w:color="auto"/>
            </w:tcBorders>
            <w:vAlign w:val="center"/>
          </w:tcPr>
          <w:p w14:paraId="4F85E522" w14:textId="77777777" w:rsidR="006556EA" w:rsidRPr="00114DA7" w:rsidRDefault="006556EA" w:rsidP="00953EC6">
            <w:pPr>
              <w:rPr>
                <w:rFonts w:cstheme="minorHAnsi"/>
                <w:sz w:val="20"/>
                <w:szCs w:val="20"/>
              </w:rPr>
            </w:pPr>
          </w:p>
        </w:tc>
        <w:tc>
          <w:tcPr>
            <w:tcW w:w="4324" w:type="dxa"/>
            <w:gridSpan w:val="2"/>
            <w:tcBorders>
              <w:top w:val="single" w:sz="4" w:space="0" w:color="auto"/>
              <w:bottom w:val="single" w:sz="4" w:space="0" w:color="auto"/>
            </w:tcBorders>
            <w:vAlign w:val="center"/>
          </w:tcPr>
          <w:p w14:paraId="5EB4285C" w14:textId="77777777" w:rsidR="006556EA" w:rsidRPr="00114DA7" w:rsidRDefault="006556EA" w:rsidP="00953EC6">
            <w:pPr>
              <w:rPr>
                <w:rFonts w:cstheme="minorHAnsi"/>
                <w:sz w:val="20"/>
                <w:szCs w:val="20"/>
              </w:rPr>
            </w:pPr>
            <w:r w:rsidRPr="00114DA7">
              <w:rPr>
                <w:rFonts w:cstheme="minorHAnsi"/>
                <w:b/>
                <w:bCs/>
                <w:sz w:val="20"/>
                <w:szCs w:val="20"/>
              </w:rPr>
              <w:t>1.2</w:t>
            </w:r>
            <w:r w:rsidRPr="00114DA7">
              <w:rPr>
                <w:rFonts w:cstheme="minorHAnsi"/>
                <w:sz w:val="20"/>
                <w:szCs w:val="20"/>
              </w:rPr>
              <w:t xml:space="preserve"> Engage in an advanced, in-depth, scholarly exploration of the topic or idea of the theme.</w:t>
            </w:r>
          </w:p>
        </w:tc>
        <w:tc>
          <w:tcPr>
            <w:tcW w:w="5305" w:type="dxa"/>
            <w:tcBorders>
              <w:top w:val="single" w:sz="4" w:space="0" w:color="auto"/>
              <w:bottom w:val="single" w:sz="4" w:space="0" w:color="auto"/>
            </w:tcBorders>
          </w:tcPr>
          <w:p w14:paraId="407D378D" w14:textId="77777777" w:rsidR="006556EA" w:rsidRPr="00114DA7" w:rsidRDefault="006556EA" w:rsidP="00953EC6">
            <w:pPr>
              <w:rPr>
                <w:rFonts w:cstheme="minorHAnsi"/>
                <w:b/>
                <w:bCs/>
                <w:sz w:val="20"/>
                <w:szCs w:val="20"/>
              </w:rPr>
            </w:pPr>
          </w:p>
        </w:tc>
      </w:tr>
      <w:tr w:rsidR="006556EA" w:rsidRPr="00114DA7" w14:paraId="37192E4B" w14:textId="77777777" w:rsidTr="00953EC6">
        <w:trPr>
          <w:trHeight w:val="953"/>
        </w:trPr>
        <w:tc>
          <w:tcPr>
            <w:tcW w:w="3321" w:type="dxa"/>
            <w:vMerge w:val="restart"/>
            <w:tcBorders>
              <w:top w:val="single" w:sz="4" w:space="0" w:color="auto"/>
            </w:tcBorders>
            <w:vAlign w:val="center"/>
          </w:tcPr>
          <w:p w14:paraId="1C24D18D" w14:textId="77777777" w:rsidR="006556EA" w:rsidRPr="00114DA7" w:rsidRDefault="006556EA" w:rsidP="00953EC6">
            <w:pPr>
              <w:rPr>
                <w:rFonts w:cstheme="minorHAnsi"/>
                <w:b/>
                <w:bCs/>
                <w:sz w:val="20"/>
                <w:szCs w:val="20"/>
              </w:rPr>
            </w:pPr>
            <w:r w:rsidRPr="00114DA7">
              <w:rPr>
                <w:rFonts w:cstheme="minorHAnsi"/>
                <w:b/>
                <w:bCs/>
                <w:sz w:val="20"/>
                <w:szCs w:val="20"/>
              </w:rPr>
              <w:t xml:space="preserve">GOAL 2: Successful students will engage the theme </w:t>
            </w:r>
            <w:r>
              <w:rPr>
                <w:rFonts w:cstheme="minorHAnsi"/>
                <w:b/>
                <w:bCs/>
                <w:sz w:val="20"/>
                <w:szCs w:val="20"/>
              </w:rPr>
              <w:t>and a</w:t>
            </w:r>
            <w:r w:rsidRPr="00114DA7">
              <w:rPr>
                <w:rFonts w:cstheme="minorHAnsi"/>
                <w:b/>
                <w:bCs/>
                <w:sz w:val="20"/>
                <w:szCs w:val="20"/>
              </w:rPr>
              <w:t xml:space="preserve">pply methods from multiple disciplinary </w:t>
            </w:r>
            <w:r>
              <w:rPr>
                <w:rFonts w:cstheme="minorHAnsi"/>
                <w:b/>
                <w:bCs/>
                <w:sz w:val="20"/>
                <w:szCs w:val="20"/>
              </w:rPr>
              <w:t xml:space="preserve">perspectives and/or </w:t>
            </w:r>
            <w:r w:rsidRPr="00114DA7">
              <w:rPr>
                <w:rFonts w:cstheme="minorHAnsi"/>
                <w:b/>
                <w:bCs/>
                <w:sz w:val="20"/>
                <w:szCs w:val="20"/>
              </w:rPr>
              <w:t xml:space="preserve">modes of human thought and inquiry, either across two </w:t>
            </w:r>
            <w:r>
              <w:rPr>
                <w:rFonts w:cstheme="minorHAnsi"/>
                <w:b/>
                <w:bCs/>
                <w:sz w:val="20"/>
                <w:szCs w:val="20"/>
              </w:rPr>
              <w:t xml:space="preserve">3-credit </w:t>
            </w:r>
            <w:r w:rsidRPr="00114DA7">
              <w:rPr>
                <w:rFonts w:cstheme="minorHAnsi"/>
                <w:b/>
                <w:bCs/>
                <w:sz w:val="20"/>
                <w:szCs w:val="20"/>
              </w:rPr>
              <w:t>courses or within one</w:t>
            </w:r>
            <w:r>
              <w:rPr>
                <w:rFonts w:cstheme="minorHAnsi"/>
                <w:b/>
                <w:bCs/>
                <w:sz w:val="20"/>
                <w:szCs w:val="20"/>
              </w:rPr>
              <w:t xml:space="preserve"> 4-credit</w:t>
            </w:r>
            <w:r w:rsidRPr="00114DA7">
              <w:rPr>
                <w:rFonts w:cstheme="minorHAnsi"/>
                <w:b/>
                <w:bCs/>
                <w:sz w:val="20"/>
                <w:szCs w:val="20"/>
              </w:rPr>
              <w:t xml:space="preserve"> team-taught</w:t>
            </w:r>
            <w:r>
              <w:rPr>
                <w:rFonts w:cstheme="minorHAnsi"/>
                <w:b/>
                <w:bCs/>
                <w:sz w:val="20"/>
                <w:szCs w:val="20"/>
              </w:rPr>
              <w:t>, interdisciplinary course</w:t>
            </w:r>
            <w:r w:rsidRPr="00114DA7">
              <w:rPr>
                <w:rFonts w:cstheme="minorHAnsi"/>
                <w:b/>
                <w:bCs/>
                <w:sz w:val="20"/>
                <w:szCs w:val="20"/>
              </w:rPr>
              <w:t xml:space="preserve"> </w:t>
            </w:r>
            <w:r>
              <w:rPr>
                <w:rFonts w:cstheme="minorHAnsi"/>
                <w:b/>
                <w:bCs/>
                <w:sz w:val="20"/>
                <w:szCs w:val="20"/>
              </w:rPr>
              <w:t xml:space="preserve">or one bi-modal </w:t>
            </w:r>
            <w:r w:rsidRPr="00114DA7">
              <w:rPr>
                <w:rFonts w:cstheme="minorHAnsi"/>
                <w:b/>
                <w:bCs/>
                <w:sz w:val="20"/>
                <w:szCs w:val="20"/>
              </w:rPr>
              <w:t>c</w:t>
            </w:r>
            <w:r>
              <w:rPr>
                <w:rFonts w:cstheme="minorHAnsi"/>
                <w:b/>
                <w:bCs/>
                <w:sz w:val="20"/>
                <w:szCs w:val="20"/>
              </w:rPr>
              <w:t>ourse</w:t>
            </w:r>
            <w:r w:rsidRPr="00114DA7">
              <w:rPr>
                <w:rFonts w:cstheme="minorHAnsi"/>
                <w:b/>
                <w:bCs/>
                <w:sz w:val="20"/>
                <w:szCs w:val="20"/>
              </w:rPr>
              <w:t>.</w:t>
            </w:r>
          </w:p>
          <w:p w14:paraId="4B87CD29" w14:textId="77777777" w:rsidR="006556EA" w:rsidRPr="004E09BC" w:rsidRDefault="006556EA" w:rsidP="00953EC6">
            <w:pPr>
              <w:rPr>
                <w:rFonts w:cstheme="minorHAnsi"/>
                <w:b/>
                <w:bCs/>
                <w:sz w:val="20"/>
                <w:szCs w:val="20"/>
              </w:rPr>
            </w:pPr>
          </w:p>
        </w:tc>
        <w:tc>
          <w:tcPr>
            <w:tcW w:w="1374" w:type="dxa"/>
            <w:tcBorders>
              <w:top w:val="single" w:sz="4" w:space="0" w:color="auto"/>
            </w:tcBorders>
            <w:vAlign w:val="center"/>
          </w:tcPr>
          <w:p w14:paraId="33D68DEA" w14:textId="77777777" w:rsidR="006556EA" w:rsidRPr="00114DA7" w:rsidRDefault="006556EA" w:rsidP="00953EC6">
            <w:pPr>
              <w:jc w:val="right"/>
              <w:rPr>
                <w:rFonts w:cstheme="minorHAnsi"/>
                <w:sz w:val="20"/>
                <w:szCs w:val="20"/>
              </w:rPr>
            </w:pPr>
            <w:r>
              <w:rPr>
                <w:rFonts w:cstheme="minorHAnsi"/>
                <w:b/>
                <w:bCs/>
                <w:sz w:val="20"/>
                <w:szCs w:val="20"/>
              </w:rPr>
              <w:t>Multiple course</w:t>
            </w:r>
            <w:r w:rsidRPr="00114DA7">
              <w:rPr>
                <w:rFonts w:cstheme="minorHAnsi"/>
                <w:b/>
                <w:bCs/>
                <w:sz w:val="20"/>
                <w:szCs w:val="20"/>
              </w:rPr>
              <w:t xml:space="preserve"> version</w:t>
            </w:r>
          </w:p>
        </w:tc>
        <w:tc>
          <w:tcPr>
            <w:tcW w:w="2950" w:type="dxa"/>
            <w:tcBorders>
              <w:top w:val="single" w:sz="4" w:space="0" w:color="auto"/>
            </w:tcBorders>
            <w:vAlign w:val="center"/>
          </w:tcPr>
          <w:p w14:paraId="490F12B0" w14:textId="77777777" w:rsidR="006556EA" w:rsidRPr="00114DA7" w:rsidRDefault="006556EA" w:rsidP="00953EC6">
            <w:pPr>
              <w:rPr>
                <w:rFonts w:cstheme="minorHAnsi"/>
                <w:sz w:val="20"/>
                <w:szCs w:val="20"/>
              </w:rPr>
            </w:pPr>
            <w:r w:rsidRPr="00114DA7">
              <w:rPr>
                <w:rFonts w:cstheme="minorHAnsi"/>
                <w:b/>
                <w:bCs/>
                <w:sz w:val="20"/>
                <w:szCs w:val="20"/>
              </w:rPr>
              <w:t>2.1a</w:t>
            </w:r>
            <w:r w:rsidRPr="00114DA7">
              <w:rPr>
                <w:rFonts w:cstheme="minorHAnsi"/>
                <w:sz w:val="20"/>
                <w:szCs w:val="20"/>
              </w:rPr>
              <w:t xml:space="preserve"> Identify and apply those modes of thought and inquiry that are distinct to </w:t>
            </w:r>
            <w:r>
              <w:rPr>
                <w:rFonts w:cstheme="minorHAnsi"/>
                <w:sz w:val="20"/>
                <w:szCs w:val="20"/>
              </w:rPr>
              <w:t xml:space="preserve">the </w:t>
            </w:r>
            <w:r w:rsidRPr="00114DA7">
              <w:rPr>
                <w:rFonts w:cstheme="minorHAnsi"/>
                <w:sz w:val="20"/>
                <w:szCs w:val="20"/>
              </w:rPr>
              <w:t>disciplin</w:t>
            </w:r>
            <w:r>
              <w:rPr>
                <w:rFonts w:cstheme="minorHAnsi"/>
                <w:sz w:val="20"/>
                <w:szCs w:val="20"/>
              </w:rPr>
              <w:t>ary perspective of the course</w:t>
            </w:r>
            <w:r w:rsidRPr="00114DA7">
              <w:rPr>
                <w:rFonts w:cstheme="minorHAnsi"/>
                <w:sz w:val="20"/>
                <w:szCs w:val="20"/>
              </w:rPr>
              <w:t xml:space="preserve"> to examine the theme.</w:t>
            </w:r>
          </w:p>
        </w:tc>
        <w:tc>
          <w:tcPr>
            <w:tcW w:w="5305" w:type="dxa"/>
            <w:tcBorders>
              <w:top w:val="single" w:sz="4" w:space="0" w:color="auto"/>
            </w:tcBorders>
          </w:tcPr>
          <w:p w14:paraId="624CCB1E" w14:textId="77777777" w:rsidR="006556EA" w:rsidRPr="00634434" w:rsidRDefault="006556EA" w:rsidP="00953EC6">
            <w:pPr>
              <w:rPr>
                <w:rFonts w:cstheme="minorHAnsi"/>
                <w:i/>
                <w:iCs/>
                <w:sz w:val="20"/>
                <w:szCs w:val="20"/>
              </w:rPr>
            </w:pPr>
            <w:proofErr w:type="spellStart"/>
            <w:r w:rsidRPr="004E09BC">
              <w:rPr>
                <w:rFonts w:cstheme="minorHAnsi"/>
                <w:i/>
                <w:iCs/>
                <w:sz w:val="20"/>
                <w:szCs w:val="20"/>
              </w:rPr>
              <w:t>n.b.</w:t>
            </w:r>
            <w:proofErr w:type="spellEnd"/>
            <w:r w:rsidRPr="004E09BC">
              <w:rPr>
                <w:rFonts w:cstheme="minorHAnsi"/>
                <w:i/>
                <w:iCs/>
                <w:sz w:val="20"/>
                <w:szCs w:val="20"/>
              </w:rPr>
              <w:t xml:space="preserve"> The two-class structure will require students enroll in two, 3 credit theme focused courses in two separate disciplines. It is suggested that labeling and advising assist students to choose complementary classes and that instructors design at least one assignment that demonstrates the cross-disciplinary nature of the thematic issues</w:t>
            </w:r>
          </w:p>
        </w:tc>
      </w:tr>
      <w:tr w:rsidR="006556EA" w:rsidRPr="00114DA7" w14:paraId="0CB865D2" w14:textId="77777777" w:rsidTr="00953EC6">
        <w:trPr>
          <w:trHeight w:val="1610"/>
        </w:trPr>
        <w:tc>
          <w:tcPr>
            <w:tcW w:w="3321" w:type="dxa"/>
            <w:vMerge/>
            <w:vAlign w:val="center"/>
          </w:tcPr>
          <w:p w14:paraId="5C11B867" w14:textId="77777777" w:rsidR="006556EA" w:rsidRPr="00114DA7" w:rsidRDefault="006556EA" w:rsidP="00953EC6">
            <w:pPr>
              <w:rPr>
                <w:rFonts w:cstheme="minorHAnsi"/>
                <w:sz w:val="20"/>
                <w:szCs w:val="20"/>
              </w:rPr>
            </w:pPr>
          </w:p>
        </w:tc>
        <w:tc>
          <w:tcPr>
            <w:tcW w:w="1374" w:type="dxa"/>
            <w:tcBorders>
              <w:top w:val="single" w:sz="4" w:space="0" w:color="auto"/>
            </w:tcBorders>
            <w:vAlign w:val="center"/>
          </w:tcPr>
          <w:p w14:paraId="2EDC3A5C" w14:textId="77777777" w:rsidR="006556EA" w:rsidRPr="00114DA7" w:rsidRDefault="006556EA" w:rsidP="00953EC6">
            <w:pPr>
              <w:jc w:val="right"/>
              <w:rPr>
                <w:rFonts w:cstheme="minorHAnsi"/>
                <w:sz w:val="20"/>
                <w:szCs w:val="20"/>
              </w:rPr>
            </w:pPr>
            <w:r>
              <w:rPr>
                <w:rFonts w:cstheme="minorHAnsi"/>
                <w:b/>
                <w:bCs/>
                <w:sz w:val="20"/>
                <w:szCs w:val="20"/>
              </w:rPr>
              <w:t>One course</w:t>
            </w:r>
            <w:r w:rsidRPr="00114DA7">
              <w:rPr>
                <w:rFonts w:cstheme="minorHAnsi"/>
                <w:b/>
                <w:bCs/>
                <w:sz w:val="20"/>
                <w:szCs w:val="20"/>
              </w:rPr>
              <w:t xml:space="preserve"> version</w:t>
            </w:r>
          </w:p>
        </w:tc>
        <w:tc>
          <w:tcPr>
            <w:tcW w:w="2950" w:type="dxa"/>
            <w:tcBorders>
              <w:top w:val="single" w:sz="4" w:space="0" w:color="auto"/>
            </w:tcBorders>
            <w:vAlign w:val="center"/>
          </w:tcPr>
          <w:p w14:paraId="51B7A753" w14:textId="77777777" w:rsidR="006556EA" w:rsidRPr="00114DA7" w:rsidRDefault="006556EA" w:rsidP="00953EC6">
            <w:pPr>
              <w:rPr>
                <w:rFonts w:cstheme="minorHAnsi"/>
                <w:sz w:val="20"/>
                <w:szCs w:val="20"/>
              </w:rPr>
            </w:pPr>
            <w:r w:rsidRPr="00114DA7">
              <w:rPr>
                <w:rFonts w:cstheme="minorHAnsi"/>
                <w:b/>
                <w:bCs/>
                <w:sz w:val="20"/>
                <w:szCs w:val="20"/>
              </w:rPr>
              <w:t>2.1b</w:t>
            </w:r>
            <w:r w:rsidRPr="00114DA7">
              <w:rPr>
                <w:rFonts w:cstheme="minorHAnsi"/>
                <w:sz w:val="20"/>
                <w:szCs w:val="20"/>
              </w:rPr>
              <w:t xml:space="preserve"> </w:t>
            </w:r>
            <w:r>
              <w:rPr>
                <w:rFonts w:cstheme="minorHAnsi"/>
                <w:sz w:val="20"/>
                <w:szCs w:val="20"/>
              </w:rPr>
              <w:t>Identify, a</w:t>
            </w:r>
            <w:r w:rsidRPr="00114DA7">
              <w:rPr>
                <w:rFonts w:cstheme="minorHAnsi"/>
                <w:sz w:val="20"/>
                <w:szCs w:val="20"/>
              </w:rPr>
              <w:t>pply</w:t>
            </w:r>
            <w:r>
              <w:rPr>
                <w:rFonts w:cstheme="minorHAnsi"/>
                <w:sz w:val="20"/>
                <w:szCs w:val="20"/>
              </w:rPr>
              <w:t>,</w:t>
            </w:r>
            <w:r w:rsidRPr="00114DA7">
              <w:rPr>
                <w:rFonts w:cstheme="minorHAnsi"/>
                <w:sz w:val="20"/>
                <w:szCs w:val="20"/>
              </w:rPr>
              <w:t xml:space="preserve"> and </w:t>
            </w:r>
            <w:r>
              <w:rPr>
                <w:rFonts w:cstheme="minorHAnsi"/>
                <w:sz w:val="20"/>
                <w:szCs w:val="20"/>
              </w:rPr>
              <w:t>synthesize</w:t>
            </w:r>
            <w:r w:rsidRPr="00114DA7">
              <w:rPr>
                <w:rFonts w:cstheme="minorHAnsi"/>
                <w:sz w:val="20"/>
                <w:szCs w:val="20"/>
              </w:rPr>
              <w:t xml:space="preserve"> at least two important, disciplinary </w:t>
            </w:r>
            <w:r>
              <w:rPr>
                <w:rFonts w:cstheme="minorHAnsi"/>
                <w:sz w:val="20"/>
                <w:szCs w:val="20"/>
              </w:rPr>
              <w:t>perspectives</w:t>
            </w:r>
            <w:r w:rsidRPr="00114DA7">
              <w:rPr>
                <w:rFonts w:cstheme="minorHAnsi"/>
                <w:sz w:val="20"/>
                <w:szCs w:val="20"/>
              </w:rPr>
              <w:t xml:space="preserve"> </w:t>
            </w:r>
            <w:r>
              <w:rPr>
                <w:rFonts w:cstheme="minorHAnsi"/>
                <w:sz w:val="20"/>
                <w:szCs w:val="20"/>
              </w:rPr>
              <w:t>or</w:t>
            </w:r>
            <w:r w:rsidRPr="00114DA7">
              <w:rPr>
                <w:rFonts w:cstheme="minorHAnsi"/>
                <w:sz w:val="20"/>
                <w:szCs w:val="20"/>
              </w:rPr>
              <w:t xml:space="preserve"> </w:t>
            </w:r>
            <w:r>
              <w:rPr>
                <w:rFonts w:cstheme="minorHAnsi"/>
                <w:sz w:val="20"/>
                <w:szCs w:val="20"/>
              </w:rPr>
              <w:t xml:space="preserve">modes of </w:t>
            </w:r>
            <w:r w:rsidRPr="00114DA7">
              <w:rPr>
                <w:rFonts w:cstheme="minorHAnsi"/>
                <w:sz w:val="20"/>
                <w:szCs w:val="20"/>
              </w:rPr>
              <w:t>inquiry to examine the theme.</w:t>
            </w:r>
          </w:p>
        </w:tc>
        <w:tc>
          <w:tcPr>
            <w:tcW w:w="5305" w:type="dxa"/>
            <w:tcBorders>
              <w:top w:val="single" w:sz="4" w:space="0" w:color="auto"/>
            </w:tcBorders>
          </w:tcPr>
          <w:p w14:paraId="0D9AF512" w14:textId="77777777" w:rsidR="006556EA" w:rsidRPr="004E09BC" w:rsidRDefault="006556EA" w:rsidP="00953EC6">
            <w:pPr>
              <w:rPr>
                <w:rFonts w:cstheme="minorHAnsi"/>
                <w:sz w:val="20"/>
                <w:szCs w:val="20"/>
              </w:rPr>
            </w:pPr>
            <w:proofErr w:type="spellStart"/>
            <w:r w:rsidRPr="004E09BC">
              <w:rPr>
                <w:rFonts w:cstheme="minorHAnsi"/>
                <w:i/>
                <w:iCs/>
                <w:sz w:val="20"/>
                <w:szCs w:val="20"/>
              </w:rPr>
              <w:t>n.b.</w:t>
            </w:r>
            <w:proofErr w:type="spellEnd"/>
            <w:r w:rsidRPr="004E09BC">
              <w:rPr>
                <w:rFonts w:cstheme="minorHAnsi"/>
                <w:i/>
                <w:iCs/>
                <w:sz w:val="20"/>
                <w:szCs w:val="20"/>
              </w:rPr>
              <w:t xml:space="preserve"> The </w:t>
            </w:r>
            <w:r>
              <w:rPr>
                <w:rFonts w:cstheme="minorHAnsi"/>
                <w:i/>
                <w:iCs/>
                <w:sz w:val="20"/>
                <w:szCs w:val="20"/>
              </w:rPr>
              <w:t>one</w:t>
            </w:r>
            <w:r w:rsidRPr="004E09BC">
              <w:rPr>
                <w:rFonts w:cstheme="minorHAnsi"/>
                <w:i/>
                <w:iCs/>
                <w:sz w:val="20"/>
                <w:szCs w:val="20"/>
              </w:rPr>
              <w:t xml:space="preserve">-class structure will require students enroll in </w:t>
            </w:r>
            <w:r>
              <w:rPr>
                <w:rFonts w:cstheme="minorHAnsi"/>
                <w:i/>
                <w:iCs/>
                <w:sz w:val="20"/>
                <w:szCs w:val="20"/>
              </w:rPr>
              <w:t>one</w:t>
            </w:r>
            <w:r w:rsidRPr="004E09BC">
              <w:rPr>
                <w:rFonts w:cstheme="minorHAnsi"/>
                <w:i/>
                <w:iCs/>
                <w:sz w:val="20"/>
                <w:szCs w:val="20"/>
              </w:rPr>
              <w:t xml:space="preserve">, </w:t>
            </w:r>
            <w:r>
              <w:rPr>
                <w:rFonts w:cstheme="minorHAnsi"/>
                <w:i/>
                <w:iCs/>
                <w:sz w:val="20"/>
                <w:szCs w:val="20"/>
              </w:rPr>
              <w:t>4</w:t>
            </w:r>
            <w:r w:rsidRPr="004E09BC">
              <w:rPr>
                <w:rFonts w:cstheme="minorHAnsi"/>
                <w:i/>
                <w:iCs/>
                <w:sz w:val="20"/>
                <w:szCs w:val="20"/>
              </w:rPr>
              <w:t xml:space="preserve"> credit theme focused course</w:t>
            </w:r>
            <w:r>
              <w:rPr>
                <w:rFonts w:cstheme="minorHAnsi"/>
                <w:i/>
                <w:iCs/>
                <w:sz w:val="20"/>
                <w:szCs w:val="20"/>
              </w:rPr>
              <w:t xml:space="preserve"> that is either intentionally interdisciplinary and team-taught by faculty members from two different disciplines or is bi-modal and includes both classroom instruction and one of the following additional modes of learning: community-based learning, study away, or is taught in a world language other than English.</w:t>
            </w:r>
          </w:p>
        </w:tc>
      </w:tr>
      <w:tr w:rsidR="006556EA" w:rsidRPr="00114DA7" w14:paraId="72883D2B" w14:textId="77777777" w:rsidTr="00953EC6">
        <w:trPr>
          <w:trHeight w:val="1270"/>
        </w:trPr>
        <w:tc>
          <w:tcPr>
            <w:tcW w:w="3321" w:type="dxa"/>
            <w:vMerge w:val="restart"/>
            <w:vAlign w:val="center"/>
          </w:tcPr>
          <w:p w14:paraId="1926D832" w14:textId="77777777" w:rsidR="006556EA" w:rsidRPr="00114DA7" w:rsidRDefault="006556EA" w:rsidP="00953EC6">
            <w:pPr>
              <w:rPr>
                <w:rFonts w:ascii="Calibri" w:hAnsi="Calibri" w:cs="Calibri"/>
                <w:color w:val="000000"/>
                <w:sz w:val="20"/>
                <w:szCs w:val="20"/>
              </w:rPr>
            </w:pPr>
          </w:p>
          <w:p w14:paraId="0240C4C5" w14:textId="77777777" w:rsidR="006556EA" w:rsidRPr="00114DA7" w:rsidRDefault="006556EA" w:rsidP="00953EC6">
            <w:pPr>
              <w:rPr>
                <w:rFonts w:ascii="Calibri" w:hAnsi="Calibri" w:cs="Calibri"/>
                <w:b/>
                <w:bCs/>
                <w:color w:val="000000"/>
                <w:sz w:val="20"/>
                <w:szCs w:val="20"/>
              </w:rPr>
            </w:pPr>
            <w:r w:rsidRPr="00114DA7">
              <w:rPr>
                <w:rFonts w:ascii="Calibri" w:hAnsi="Calibri" w:cs="Calibri"/>
                <w:b/>
                <w:bCs/>
                <w:color w:val="000000"/>
                <w:sz w:val="20"/>
                <w:szCs w:val="20"/>
              </w:rPr>
              <w:t>GOAL 3: Successful students will demonstrate their understanding of the integrative nature of their thematic coursework.</w:t>
            </w:r>
          </w:p>
        </w:tc>
        <w:tc>
          <w:tcPr>
            <w:tcW w:w="1374" w:type="dxa"/>
            <w:tcBorders>
              <w:top w:val="single" w:sz="4" w:space="0" w:color="auto"/>
              <w:bottom w:val="single" w:sz="4" w:space="0" w:color="auto"/>
            </w:tcBorders>
            <w:vAlign w:val="center"/>
          </w:tcPr>
          <w:p w14:paraId="09C95B70" w14:textId="77777777" w:rsidR="006556EA" w:rsidRPr="00114DA7" w:rsidRDefault="006556EA" w:rsidP="00953EC6">
            <w:pPr>
              <w:jc w:val="right"/>
              <w:rPr>
                <w:rFonts w:cstheme="minorHAnsi"/>
                <w:sz w:val="20"/>
                <w:szCs w:val="20"/>
              </w:rPr>
            </w:pPr>
            <w:r>
              <w:rPr>
                <w:rFonts w:cstheme="minorHAnsi"/>
                <w:b/>
                <w:bCs/>
                <w:sz w:val="20"/>
                <w:szCs w:val="20"/>
              </w:rPr>
              <w:t>Multiple course</w:t>
            </w:r>
            <w:r w:rsidRPr="00114DA7">
              <w:rPr>
                <w:rFonts w:cstheme="minorHAnsi"/>
                <w:b/>
                <w:bCs/>
                <w:sz w:val="20"/>
                <w:szCs w:val="20"/>
              </w:rPr>
              <w:t xml:space="preserve"> version</w:t>
            </w:r>
          </w:p>
        </w:tc>
        <w:tc>
          <w:tcPr>
            <w:tcW w:w="2950" w:type="dxa"/>
            <w:tcBorders>
              <w:top w:val="single" w:sz="4" w:space="0" w:color="auto"/>
              <w:bottom w:val="single" w:sz="4" w:space="0" w:color="auto"/>
            </w:tcBorders>
            <w:vAlign w:val="center"/>
          </w:tcPr>
          <w:p w14:paraId="0CC58F11" w14:textId="77777777" w:rsidR="006556EA" w:rsidRPr="00114DA7" w:rsidRDefault="006556EA" w:rsidP="00953EC6">
            <w:pPr>
              <w:rPr>
                <w:rFonts w:ascii="Calibri" w:hAnsi="Calibri" w:cs="Calibri"/>
                <w:color w:val="000000"/>
                <w:sz w:val="20"/>
                <w:szCs w:val="20"/>
              </w:rPr>
            </w:pPr>
            <w:r w:rsidRPr="00114DA7">
              <w:rPr>
                <w:rFonts w:ascii="Calibri" w:hAnsi="Calibri" w:cs="Calibri"/>
                <w:b/>
                <w:bCs/>
                <w:color w:val="000000"/>
                <w:sz w:val="20"/>
                <w:szCs w:val="20"/>
              </w:rPr>
              <w:t>3.1a</w:t>
            </w:r>
            <w:r w:rsidRPr="00114DA7">
              <w:rPr>
                <w:rFonts w:ascii="Calibri" w:hAnsi="Calibri" w:cs="Calibri"/>
                <w:color w:val="000000"/>
                <w:sz w:val="20"/>
                <w:szCs w:val="20"/>
              </w:rPr>
              <w:t xml:space="preserve"> Explicitly identify and apply this mode of disciplinary thought to the theme, exploring some ways in which that analysis is similar to and different from other modes of thought. </w:t>
            </w:r>
          </w:p>
        </w:tc>
        <w:tc>
          <w:tcPr>
            <w:tcW w:w="5305" w:type="dxa"/>
            <w:tcBorders>
              <w:top w:val="single" w:sz="4" w:space="0" w:color="auto"/>
              <w:bottom w:val="single" w:sz="4" w:space="0" w:color="auto"/>
            </w:tcBorders>
          </w:tcPr>
          <w:p w14:paraId="120E2C34" w14:textId="77777777" w:rsidR="006556EA" w:rsidRPr="004E09BC" w:rsidRDefault="006556EA" w:rsidP="00953EC6">
            <w:pPr>
              <w:rPr>
                <w:rFonts w:cstheme="minorHAnsi"/>
                <w:i/>
                <w:iCs/>
                <w:sz w:val="20"/>
                <w:szCs w:val="20"/>
              </w:rPr>
            </w:pPr>
            <w:proofErr w:type="spellStart"/>
            <w:r w:rsidRPr="00893731">
              <w:rPr>
                <w:rFonts w:ascii="Calibri" w:hAnsi="Calibri" w:cs="Calibri"/>
                <w:i/>
                <w:iCs/>
                <w:color w:val="000000"/>
                <w:sz w:val="20"/>
                <w:szCs w:val="20"/>
              </w:rPr>
              <w:t>n.b</w:t>
            </w:r>
            <w:r>
              <w:rPr>
                <w:rFonts w:ascii="Calibri" w:hAnsi="Calibri" w:cs="Calibri"/>
                <w:i/>
                <w:iCs/>
                <w:color w:val="000000"/>
                <w:sz w:val="20"/>
                <w:szCs w:val="20"/>
              </w:rPr>
              <w:t>.</w:t>
            </w:r>
            <w:proofErr w:type="spellEnd"/>
            <w:r w:rsidRPr="00893731">
              <w:rPr>
                <w:rFonts w:ascii="Calibri" w:hAnsi="Calibri" w:cs="Calibri"/>
                <w:i/>
                <w:iCs/>
                <w:color w:val="000000"/>
                <w:sz w:val="20"/>
                <w:szCs w:val="20"/>
              </w:rPr>
              <w:t xml:space="preserve"> as above</w:t>
            </w:r>
            <w:r w:rsidRPr="00893731">
              <w:rPr>
                <w:rFonts w:cstheme="minorHAnsi"/>
                <w:i/>
                <w:iCs/>
                <w:sz w:val="20"/>
                <w:szCs w:val="20"/>
              </w:rPr>
              <w:t>.</w:t>
            </w:r>
            <w:r w:rsidRPr="004E09BC">
              <w:rPr>
                <w:rFonts w:cstheme="minorHAnsi"/>
                <w:i/>
                <w:iCs/>
                <w:sz w:val="20"/>
                <w:szCs w:val="20"/>
              </w:rPr>
              <w:t xml:space="preserve"> It is suggested that labeling and advising assist students to choose complementary classes and that instructors design at least one assignment that demonstrates the cross-disciplinary nature of the thematic issues</w:t>
            </w:r>
          </w:p>
          <w:p w14:paraId="44C2717A" w14:textId="77777777" w:rsidR="006556EA" w:rsidRPr="00114DA7" w:rsidRDefault="006556EA" w:rsidP="00953EC6">
            <w:pPr>
              <w:rPr>
                <w:rFonts w:ascii="Calibri" w:hAnsi="Calibri" w:cs="Calibri"/>
                <w:b/>
                <w:bCs/>
                <w:color w:val="000000"/>
                <w:sz w:val="20"/>
                <w:szCs w:val="20"/>
              </w:rPr>
            </w:pPr>
          </w:p>
        </w:tc>
      </w:tr>
      <w:tr w:rsidR="006556EA" w:rsidRPr="00114DA7" w14:paraId="33355390" w14:textId="77777777" w:rsidTr="00953EC6">
        <w:trPr>
          <w:trHeight w:val="1484"/>
        </w:trPr>
        <w:tc>
          <w:tcPr>
            <w:tcW w:w="3321" w:type="dxa"/>
            <w:vMerge/>
          </w:tcPr>
          <w:p w14:paraId="6F9F9161" w14:textId="77777777" w:rsidR="006556EA" w:rsidRPr="00114DA7" w:rsidRDefault="006556EA" w:rsidP="00953EC6">
            <w:pPr>
              <w:rPr>
                <w:rFonts w:ascii="Calibri" w:hAnsi="Calibri" w:cs="Calibri"/>
                <w:color w:val="000000"/>
                <w:sz w:val="20"/>
                <w:szCs w:val="20"/>
              </w:rPr>
            </w:pPr>
          </w:p>
        </w:tc>
        <w:tc>
          <w:tcPr>
            <w:tcW w:w="1374" w:type="dxa"/>
            <w:tcBorders>
              <w:top w:val="single" w:sz="4" w:space="0" w:color="auto"/>
            </w:tcBorders>
            <w:vAlign w:val="center"/>
          </w:tcPr>
          <w:p w14:paraId="579932B1" w14:textId="77777777" w:rsidR="006556EA" w:rsidRPr="00114DA7" w:rsidRDefault="006556EA" w:rsidP="00953EC6">
            <w:pPr>
              <w:jc w:val="right"/>
              <w:rPr>
                <w:rFonts w:ascii="Calibri" w:hAnsi="Calibri" w:cs="Calibri"/>
                <w:color w:val="000000"/>
                <w:sz w:val="20"/>
                <w:szCs w:val="20"/>
              </w:rPr>
            </w:pPr>
            <w:r>
              <w:rPr>
                <w:rFonts w:cstheme="minorHAnsi"/>
                <w:b/>
                <w:bCs/>
                <w:sz w:val="20"/>
                <w:szCs w:val="20"/>
              </w:rPr>
              <w:t>One course</w:t>
            </w:r>
            <w:r w:rsidRPr="00114DA7">
              <w:rPr>
                <w:rFonts w:cstheme="minorHAnsi"/>
                <w:b/>
                <w:bCs/>
                <w:sz w:val="20"/>
                <w:szCs w:val="20"/>
              </w:rPr>
              <w:t xml:space="preserve"> version</w:t>
            </w:r>
          </w:p>
        </w:tc>
        <w:tc>
          <w:tcPr>
            <w:tcW w:w="2950" w:type="dxa"/>
            <w:tcBorders>
              <w:top w:val="single" w:sz="4" w:space="0" w:color="auto"/>
            </w:tcBorders>
            <w:vAlign w:val="center"/>
          </w:tcPr>
          <w:p w14:paraId="2B3AA544" w14:textId="77777777" w:rsidR="006556EA" w:rsidRPr="00114DA7" w:rsidRDefault="006556EA" w:rsidP="00953EC6">
            <w:pPr>
              <w:rPr>
                <w:rFonts w:ascii="Calibri" w:hAnsi="Calibri" w:cs="Calibri"/>
                <w:color w:val="000000"/>
                <w:sz w:val="20"/>
                <w:szCs w:val="20"/>
              </w:rPr>
            </w:pPr>
            <w:r w:rsidRPr="00114DA7">
              <w:rPr>
                <w:rFonts w:ascii="Calibri" w:hAnsi="Calibri" w:cs="Calibri"/>
                <w:b/>
                <w:bCs/>
                <w:color w:val="000000"/>
                <w:sz w:val="20"/>
                <w:szCs w:val="20"/>
              </w:rPr>
              <w:t>3.1b</w:t>
            </w:r>
            <w:r w:rsidRPr="00114DA7">
              <w:rPr>
                <w:rFonts w:ascii="Calibri" w:hAnsi="Calibri" w:cs="Calibri"/>
                <w:color w:val="000000"/>
                <w:sz w:val="20"/>
                <w:szCs w:val="20"/>
              </w:rPr>
              <w:t xml:space="preserve"> Explicitly identify and apply at least two </w:t>
            </w:r>
            <w:r>
              <w:rPr>
                <w:rFonts w:ascii="Calibri" w:hAnsi="Calibri" w:cs="Calibri"/>
                <w:color w:val="000000"/>
                <w:sz w:val="20"/>
                <w:szCs w:val="20"/>
              </w:rPr>
              <w:t xml:space="preserve">disciplinary perspectives or structural </w:t>
            </w:r>
            <w:r w:rsidRPr="00114DA7">
              <w:rPr>
                <w:rFonts w:ascii="Calibri" w:hAnsi="Calibri" w:cs="Calibri"/>
                <w:color w:val="000000"/>
                <w:sz w:val="20"/>
                <w:szCs w:val="20"/>
              </w:rPr>
              <w:t>modes of thought to the theme, exploring some ways in which these modes are similar to and different from each.</w:t>
            </w:r>
          </w:p>
        </w:tc>
        <w:tc>
          <w:tcPr>
            <w:tcW w:w="5305" w:type="dxa"/>
            <w:tcBorders>
              <w:top w:val="single" w:sz="4" w:space="0" w:color="auto"/>
            </w:tcBorders>
          </w:tcPr>
          <w:p w14:paraId="03E2E9F0" w14:textId="77777777" w:rsidR="006556EA" w:rsidRPr="00893731" w:rsidRDefault="006556EA" w:rsidP="00953EC6">
            <w:pPr>
              <w:rPr>
                <w:rFonts w:ascii="Calibri" w:hAnsi="Calibri" w:cs="Calibri"/>
                <w:i/>
                <w:iCs/>
                <w:color w:val="000000"/>
                <w:sz w:val="20"/>
                <w:szCs w:val="20"/>
              </w:rPr>
            </w:pPr>
            <w:proofErr w:type="spellStart"/>
            <w:r w:rsidRPr="00893731">
              <w:rPr>
                <w:rFonts w:ascii="Calibri" w:hAnsi="Calibri" w:cs="Calibri"/>
                <w:i/>
                <w:iCs/>
                <w:color w:val="000000"/>
                <w:sz w:val="20"/>
                <w:szCs w:val="20"/>
              </w:rPr>
              <w:t>n.b.</w:t>
            </w:r>
            <w:proofErr w:type="spellEnd"/>
            <w:r w:rsidRPr="00893731">
              <w:rPr>
                <w:rFonts w:ascii="Calibri" w:hAnsi="Calibri" w:cs="Calibri"/>
                <w:i/>
                <w:iCs/>
                <w:color w:val="000000"/>
                <w:sz w:val="20"/>
                <w:szCs w:val="20"/>
              </w:rPr>
              <w:t xml:space="preserve"> this includes explicitly synthesizing across and between the disciplines that each instructor brings</w:t>
            </w:r>
            <w:r>
              <w:rPr>
                <w:rFonts w:ascii="Calibri" w:hAnsi="Calibri" w:cs="Calibri"/>
                <w:i/>
                <w:iCs/>
                <w:color w:val="000000"/>
                <w:sz w:val="20"/>
                <w:szCs w:val="20"/>
              </w:rPr>
              <w:t xml:space="preserve"> to the team-taught, interdisciplinary course</w:t>
            </w:r>
            <w:r w:rsidRPr="00893731">
              <w:rPr>
                <w:rFonts w:ascii="Calibri" w:hAnsi="Calibri" w:cs="Calibri"/>
                <w:i/>
                <w:iCs/>
                <w:color w:val="000000"/>
                <w:sz w:val="20"/>
                <w:szCs w:val="20"/>
              </w:rPr>
              <w:t>, an</w:t>
            </w:r>
            <w:r>
              <w:rPr>
                <w:rFonts w:ascii="Calibri" w:hAnsi="Calibri" w:cs="Calibri"/>
                <w:i/>
                <w:iCs/>
                <w:color w:val="000000"/>
                <w:sz w:val="20"/>
                <w:szCs w:val="20"/>
              </w:rPr>
              <w:t>d</w:t>
            </w:r>
            <w:r w:rsidRPr="00893731">
              <w:rPr>
                <w:rFonts w:ascii="Calibri" w:hAnsi="Calibri" w:cs="Calibri"/>
                <w:i/>
                <w:iCs/>
                <w:color w:val="000000"/>
                <w:sz w:val="20"/>
                <w:szCs w:val="20"/>
              </w:rPr>
              <w:t>/or connecting the learning done in the community</w:t>
            </w:r>
            <w:r>
              <w:rPr>
                <w:rFonts w:ascii="Calibri" w:hAnsi="Calibri" w:cs="Calibri"/>
                <w:i/>
                <w:iCs/>
                <w:color w:val="000000"/>
                <w:sz w:val="20"/>
                <w:szCs w:val="20"/>
              </w:rPr>
              <w:t xml:space="preserve"> or </w:t>
            </w:r>
            <w:r w:rsidRPr="00893731">
              <w:rPr>
                <w:rFonts w:ascii="Calibri" w:hAnsi="Calibri" w:cs="Calibri"/>
                <w:i/>
                <w:iCs/>
                <w:color w:val="000000"/>
                <w:sz w:val="20"/>
                <w:szCs w:val="20"/>
              </w:rPr>
              <w:t>away site, and/or engaging in unpacking how learning this content in another language informs their perspective.</w:t>
            </w:r>
          </w:p>
        </w:tc>
      </w:tr>
    </w:tbl>
    <w:p w14:paraId="0EA41DAB" w14:textId="77777777" w:rsidR="006556EA" w:rsidRPr="00361360" w:rsidRDefault="006556EA" w:rsidP="006556EA">
      <w:pPr>
        <w:rPr>
          <w:sz w:val="20"/>
          <w:szCs w:val="20"/>
        </w:rPr>
      </w:pPr>
      <w:r w:rsidRPr="00361360">
        <w:rPr>
          <w:sz w:val="20"/>
          <w:szCs w:val="20"/>
        </w:rPr>
        <w:t xml:space="preserve">Note: The term High Impact Practices </w:t>
      </w:r>
      <w:r>
        <w:rPr>
          <w:sz w:val="20"/>
          <w:szCs w:val="20"/>
        </w:rPr>
        <w:t xml:space="preserve">(used in the original GE proposal) </w:t>
      </w:r>
      <w:r w:rsidRPr="00361360">
        <w:rPr>
          <w:sz w:val="20"/>
          <w:szCs w:val="20"/>
        </w:rPr>
        <w:t>refers to much broader</w:t>
      </w:r>
      <w:r>
        <w:rPr>
          <w:sz w:val="20"/>
          <w:szCs w:val="20"/>
        </w:rPr>
        <w:t xml:space="preserve"> </w:t>
      </w:r>
      <w:r w:rsidRPr="00361360">
        <w:rPr>
          <w:sz w:val="20"/>
          <w:szCs w:val="20"/>
        </w:rPr>
        <w:t>s</w:t>
      </w:r>
      <w:r>
        <w:rPr>
          <w:sz w:val="20"/>
          <w:szCs w:val="20"/>
        </w:rPr>
        <w:t xml:space="preserve">et of learning designs and pedagogies and these are not limited to general education. Therefore, these specific types of thematic courses are designated </w:t>
      </w:r>
      <w:proofErr w:type="gramStart"/>
      <w:r>
        <w:rPr>
          <w:sz w:val="20"/>
          <w:szCs w:val="20"/>
        </w:rPr>
        <w:t>bi-modal</w:t>
      </w:r>
      <w:proofErr w:type="gramEnd"/>
      <w:r>
        <w:rPr>
          <w:sz w:val="20"/>
          <w:szCs w:val="20"/>
        </w:rPr>
        <w:t>, to describe their structural difference.</w:t>
      </w:r>
    </w:p>
    <w:sectPr w:rsidR="006556EA" w:rsidRPr="00361360" w:rsidSect="006556EA">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CBB79" w14:textId="77777777" w:rsidR="003D0787" w:rsidRDefault="003D0787" w:rsidP="001F63C8">
      <w:pPr>
        <w:spacing w:after="0" w:line="240" w:lineRule="auto"/>
      </w:pPr>
      <w:r>
        <w:separator/>
      </w:r>
    </w:p>
  </w:endnote>
  <w:endnote w:type="continuationSeparator" w:id="0">
    <w:p w14:paraId="71110767" w14:textId="77777777" w:rsidR="003D0787" w:rsidRDefault="003D0787" w:rsidP="001F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5801901"/>
      <w:docPartObj>
        <w:docPartGallery w:val="Page Numbers (Bottom of Page)"/>
        <w:docPartUnique/>
      </w:docPartObj>
    </w:sdtPr>
    <w:sdtEndPr/>
    <w:sdtContent>
      <w:p w14:paraId="3C792DEF" w14:textId="77777777" w:rsidR="0064479A" w:rsidRDefault="0064479A">
        <w:pPr>
          <w:pStyle w:val="Footer"/>
          <w:jc w:val="right"/>
        </w:pPr>
        <w:r>
          <w:t xml:space="preserve">Page | </w:t>
        </w:r>
        <w:r>
          <w:fldChar w:fldCharType="begin"/>
        </w:r>
        <w:r>
          <w:instrText xml:space="preserve"> PAGE   \* MERGEFORMAT </w:instrText>
        </w:r>
        <w:r>
          <w:fldChar w:fldCharType="separate"/>
        </w:r>
        <w:r>
          <w:rPr>
            <w:noProof/>
          </w:rPr>
          <w:t>3</w:t>
        </w:r>
        <w:r>
          <w:rPr>
            <w:noProof/>
          </w:rPr>
          <w:fldChar w:fldCharType="end"/>
        </w:r>
        <w:r>
          <w:t xml:space="preserve"> </w:t>
        </w:r>
      </w:p>
    </w:sdtContent>
  </w:sdt>
  <w:p w14:paraId="0FE4029E" w14:textId="77777777" w:rsidR="0064479A" w:rsidRDefault="00644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37B81" w14:textId="77777777" w:rsidR="003D0787" w:rsidRDefault="003D0787" w:rsidP="001F63C8">
      <w:pPr>
        <w:spacing w:after="0" w:line="240" w:lineRule="auto"/>
      </w:pPr>
      <w:r>
        <w:separator/>
      </w:r>
    </w:p>
  </w:footnote>
  <w:footnote w:type="continuationSeparator" w:id="0">
    <w:p w14:paraId="25780CD2" w14:textId="77777777" w:rsidR="003D0787" w:rsidRDefault="003D0787" w:rsidP="001F6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2842"/>
      <w:gridCol w:w="6518"/>
    </w:tblGrid>
    <w:tr w:rsidR="001F63C8" w14:paraId="75759A14" w14:textId="77777777" w:rsidTr="006556EA">
      <w:trPr>
        <w:jc w:val="right"/>
      </w:trPr>
      <w:tc>
        <w:tcPr>
          <w:tcW w:w="1518" w:type="pct"/>
          <w:shd w:val="clear" w:color="auto" w:fill="ED7D31" w:themeFill="accent2"/>
          <w:vAlign w:val="center"/>
        </w:tcPr>
        <w:p w14:paraId="3E03BCF1" w14:textId="77777777" w:rsidR="001F63C8" w:rsidRDefault="001F63C8">
          <w:pPr>
            <w:pStyle w:val="Header"/>
            <w:rPr>
              <w:caps/>
              <w:color w:val="FFFFFF" w:themeColor="background1"/>
            </w:rPr>
          </w:pPr>
        </w:p>
      </w:tc>
      <w:tc>
        <w:tcPr>
          <w:tcW w:w="0" w:type="auto"/>
          <w:shd w:val="clear" w:color="auto" w:fill="ED7D31" w:themeFill="accent2"/>
          <w:vAlign w:val="center"/>
        </w:tcPr>
        <w:p w14:paraId="3074372E" w14:textId="77777777" w:rsidR="001F63C8" w:rsidRDefault="001F63C8" w:rsidP="001F63C8">
          <w:pPr>
            <w:pStyle w:val="Header"/>
            <w:jc w:val="right"/>
            <w:rPr>
              <w:caps/>
              <w:color w:val="FFFFFF" w:themeColor="background1"/>
            </w:rPr>
          </w:pPr>
          <w:r>
            <w:rPr>
              <w:caps/>
              <w:color w:val="FFFFFF" w:themeColor="background1"/>
            </w:rPr>
            <w:t xml:space="preserve"> Draft –Open themes </w:t>
          </w:r>
          <w:r w:rsidR="00473897">
            <w:rPr>
              <w:caps/>
              <w:color w:val="FFFFFF" w:themeColor="background1"/>
            </w:rPr>
            <w:t>ge implementation Committee 11.12</w:t>
          </w:r>
          <w:r>
            <w:rPr>
              <w:caps/>
              <w:color w:val="FFFFFF" w:themeColor="background1"/>
            </w:rPr>
            <w:t>.19</w:t>
          </w:r>
        </w:p>
      </w:tc>
    </w:tr>
  </w:tbl>
  <w:sdt>
    <w:sdtPr>
      <w:id w:val="134453448"/>
      <w:docPartObj>
        <w:docPartGallery w:val="Watermarks"/>
        <w:docPartUnique/>
      </w:docPartObj>
    </w:sdtPr>
    <w:sdtEndPr/>
    <w:sdtContent>
      <w:p w14:paraId="3BA4DE36" w14:textId="77777777" w:rsidR="001F63C8" w:rsidRDefault="006556EA">
        <w:pPr>
          <w:pStyle w:val="Header"/>
        </w:pPr>
        <w:r>
          <w:rPr>
            <w:noProof/>
          </w:rPr>
          <w:pict w14:anchorId="176FBB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2842"/>
      <w:gridCol w:w="6518"/>
    </w:tblGrid>
    <w:tr w:rsidR="006556EA" w14:paraId="38E91537" w14:textId="77777777" w:rsidTr="006556EA">
      <w:trPr>
        <w:jc w:val="right"/>
      </w:trPr>
      <w:tc>
        <w:tcPr>
          <w:tcW w:w="1518" w:type="pct"/>
          <w:shd w:val="clear" w:color="auto" w:fill="ED7D31" w:themeFill="accent2"/>
          <w:vAlign w:val="center"/>
        </w:tcPr>
        <w:p w14:paraId="17900395" w14:textId="77777777" w:rsidR="006556EA" w:rsidRDefault="006556EA">
          <w:pPr>
            <w:pStyle w:val="Header"/>
            <w:rPr>
              <w:caps/>
              <w:color w:val="FFFFFF" w:themeColor="background1"/>
            </w:rPr>
          </w:pPr>
        </w:p>
      </w:tc>
      <w:tc>
        <w:tcPr>
          <w:tcW w:w="0" w:type="auto"/>
          <w:shd w:val="clear" w:color="auto" w:fill="ED7D31" w:themeFill="accent2"/>
          <w:vAlign w:val="center"/>
        </w:tcPr>
        <w:p w14:paraId="0AE61CBC" w14:textId="77777777" w:rsidR="006556EA" w:rsidRDefault="006556EA" w:rsidP="001F63C8">
          <w:pPr>
            <w:pStyle w:val="Header"/>
            <w:jc w:val="right"/>
            <w:rPr>
              <w:caps/>
              <w:color w:val="FFFFFF" w:themeColor="background1"/>
            </w:rPr>
          </w:pPr>
          <w:r>
            <w:rPr>
              <w:caps/>
              <w:color w:val="FFFFFF" w:themeColor="background1"/>
            </w:rPr>
            <w:t xml:space="preserve"> Draft –Open themes ge implementation Committee 11.12.19</w:t>
          </w:r>
        </w:p>
      </w:tc>
    </w:tr>
  </w:tbl>
  <w:sdt>
    <w:sdtPr>
      <w:id w:val="-216676131"/>
      <w:docPartObj>
        <w:docPartGallery w:val="Watermarks"/>
        <w:docPartUnique/>
      </w:docPartObj>
    </w:sdtPr>
    <w:sdtContent>
      <w:p w14:paraId="60DFAC4E" w14:textId="77777777" w:rsidR="006556EA" w:rsidRDefault="006556EA">
        <w:pPr>
          <w:pStyle w:val="Header"/>
        </w:pPr>
        <w:r>
          <w:rPr>
            <w:noProof/>
          </w:rPr>
          <w:pict w14:anchorId="198760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3018"/>
    <w:multiLevelType w:val="hybridMultilevel"/>
    <w:tmpl w:val="AE5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218D6"/>
    <w:multiLevelType w:val="hybridMultilevel"/>
    <w:tmpl w:val="0EF8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22892"/>
    <w:multiLevelType w:val="hybridMultilevel"/>
    <w:tmpl w:val="5454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02224"/>
    <w:multiLevelType w:val="hybridMultilevel"/>
    <w:tmpl w:val="03A8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3164E"/>
    <w:multiLevelType w:val="hybridMultilevel"/>
    <w:tmpl w:val="AFCCB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622A24"/>
    <w:multiLevelType w:val="hybridMultilevel"/>
    <w:tmpl w:val="9FA28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064E15"/>
    <w:multiLevelType w:val="hybridMultilevel"/>
    <w:tmpl w:val="720EF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E4A4124"/>
    <w:multiLevelType w:val="hybridMultilevel"/>
    <w:tmpl w:val="F550A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743"/>
    <w:rsid w:val="000D2522"/>
    <w:rsid w:val="000E3FC4"/>
    <w:rsid w:val="001A0790"/>
    <w:rsid w:val="001A4C68"/>
    <w:rsid w:val="001F63C8"/>
    <w:rsid w:val="002E558A"/>
    <w:rsid w:val="003445A9"/>
    <w:rsid w:val="003D0787"/>
    <w:rsid w:val="00473897"/>
    <w:rsid w:val="004C29FD"/>
    <w:rsid w:val="004D216D"/>
    <w:rsid w:val="004E23C4"/>
    <w:rsid w:val="0054538F"/>
    <w:rsid w:val="00556572"/>
    <w:rsid w:val="005C421E"/>
    <w:rsid w:val="005E7ED0"/>
    <w:rsid w:val="005F683E"/>
    <w:rsid w:val="0061000E"/>
    <w:rsid w:val="00640EF8"/>
    <w:rsid w:val="0064479A"/>
    <w:rsid w:val="006556EA"/>
    <w:rsid w:val="006D0CCA"/>
    <w:rsid w:val="008174F0"/>
    <w:rsid w:val="00842457"/>
    <w:rsid w:val="008C4B42"/>
    <w:rsid w:val="008C5A2E"/>
    <w:rsid w:val="008D24DE"/>
    <w:rsid w:val="0098362C"/>
    <w:rsid w:val="00986BE7"/>
    <w:rsid w:val="009F0E2E"/>
    <w:rsid w:val="00A44743"/>
    <w:rsid w:val="00B175D2"/>
    <w:rsid w:val="00B17B4D"/>
    <w:rsid w:val="00B27CA2"/>
    <w:rsid w:val="00B938D9"/>
    <w:rsid w:val="00C2750A"/>
    <w:rsid w:val="00C42039"/>
    <w:rsid w:val="00C447E8"/>
    <w:rsid w:val="00C66904"/>
    <w:rsid w:val="00CD517D"/>
    <w:rsid w:val="00CE714B"/>
    <w:rsid w:val="00D15EF9"/>
    <w:rsid w:val="00D44D7D"/>
    <w:rsid w:val="00D733B0"/>
    <w:rsid w:val="00DB7732"/>
    <w:rsid w:val="00E00930"/>
    <w:rsid w:val="00E739F2"/>
    <w:rsid w:val="00EB289D"/>
    <w:rsid w:val="00EE5ABE"/>
    <w:rsid w:val="00FD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81888B3"/>
  <w15:chartTrackingRefBased/>
  <w15:docId w15:val="{7CD10FC6-D62D-4045-8A54-0F3960AC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83E"/>
    <w:pPr>
      <w:ind w:left="720"/>
      <w:contextualSpacing/>
    </w:pPr>
  </w:style>
  <w:style w:type="paragraph" w:styleId="BalloonText">
    <w:name w:val="Balloon Text"/>
    <w:basedOn w:val="Normal"/>
    <w:link w:val="BalloonTextChar"/>
    <w:uiPriority w:val="99"/>
    <w:semiHidden/>
    <w:unhideWhenUsed/>
    <w:rsid w:val="00EB2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89D"/>
    <w:rPr>
      <w:rFonts w:ascii="Segoe UI" w:hAnsi="Segoe UI" w:cs="Segoe UI"/>
      <w:sz w:val="18"/>
      <w:szCs w:val="18"/>
    </w:rPr>
  </w:style>
  <w:style w:type="paragraph" w:styleId="Header">
    <w:name w:val="header"/>
    <w:basedOn w:val="Normal"/>
    <w:link w:val="HeaderChar"/>
    <w:uiPriority w:val="99"/>
    <w:unhideWhenUsed/>
    <w:rsid w:val="001F6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3C8"/>
  </w:style>
  <w:style w:type="paragraph" w:styleId="Footer">
    <w:name w:val="footer"/>
    <w:basedOn w:val="Normal"/>
    <w:link w:val="FooterChar"/>
    <w:uiPriority w:val="99"/>
    <w:unhideWhenUsed/>
    <w:rsid w:val="001F6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3C8"/>
  </w:style>
  <w:style w:type="paragraph" w:styleId="NormalWeb">
    <w:name w:val="Normal (Web)"/>
    <w:basedOn w:val="Normal"/>
    <w:uiPriority w:val="99"/>
    <w:unhideWhenUsed/>
    <w:rsid w:val="006556E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556E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139768">
      <w:bodyDiv w:val="1"/>
      <w:marLeft w:val="0"/>
      <w:marRight w:val="0"/>
      <w:marTop w:val="0"/>
      <w:marBottom w:val="0"/>
      <w:divBdr>
        <w:top w:val="none" w:sz="0" w:space="0" w:color="auto"/>
        <w:left w:val="none" w:sz="0" w:space="0" w:color="auto"/>
        <w:bottom w:val="none" w:sz="0" w:space="0" w:color="auto"/>
        <w:right w:val="none" w:sz="0" w:space="0" w:color="auto"/>
      </w:divBdr>
    </w:div>
    <w:div w:id="20003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05022-391D-464C-B2A8-013C331F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Smooth, Wendy</dc:creator>
  <cp:keywords/>
  <dc:description/>
  <cp:lastModifiedBy>John L. Strawn</cp:lastModifiedBy>
  <cp:revision>3</cp:revision>
  <cp:lastPrinted>2019-11-05T19:28:00Z</cp:lastPrinted>
  <dcterms:created xsi:type="dcterms:W3CDTF">2019-11-13T13:56:00Z</dcterms:created>
  <dcterms:modified xsi:type="dcterms:W3CDTF">2019-11-13T14:08:00Z</dcterms:modified>
</cp:coreProperties>
</file>